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BA7E3A" w14:textId="06323B6A" w:rsidR="00B34E97" w:rsidRDefault="001752B9" w:rsidP="001752B9">
      <w:pPr>
        <w:pStyle w:val="Heading1"/>
        <w:ind w:left="0" w:firstLine="0"/>
      </w:pPr>
      <w:r>
        <w:t xml:space="preserve">Fall 2021 Quiz: Memo </w:t>
      </w:r>
    </w:p>
    <w:p w14:paraId="6C896E6E" w14:textId="77777777" w:rsidR="00B34E97" w:rsidRDefault="00000000">
      <w:pPr>
        <w:spacing w:line="259" w:lineRule="auto"/>
        <w:ind w:left="-28" w:right="-33" w:firstLine="0"/>
      </w:pPr>
      <w:r>
        <w:rPr>
          <w:rFonts w:ascii="Calibri" w:eastAsia="Calibri" w:hAnsi="Calibri" w:cs="Calibri"/>
          <w:noProof/>
          <w:sz w:val="22"/>
        </w:rPr>
        <mc:AlternateContent>
          <mc:Choice Requires="wpg">
            <w:drawing>
              <wp:inline distT="0" distB="0" distL="0" distR="0" wp14:anchorId="0C4A34FC" wp14:editId="15DF51E2">
                <wp:extent cx="5980176" cy="9144"/>
                <wp:effectExtent l="0" t="0" r="0" b="0"/>
                <wp:docPr id="5452" name="Group 5452"/>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6410" name="Shape 641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52" style="width:470.88pt;height:0.719971pt;mso-position-horizontal-relative:char;mso-position-vertical-relative:line" coordsize="59801,91">
                <v:shape id="Shape 6411"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14:paraId="6F5E596F" w14:textId="77777777" w:rsidR="00B34E97" w:rsidRDefault="00000000">
      <w:pPr>
        <w:spacing w:line="259" w:lineRule="auto"/>
        <w:ind w:left="1" w:firstLine="0"/>
      </w:pPr>
      <w:r>
        <w:t xml:space="preserve"> </w:t>
      </w:r>
    </w:p>
    <w:p w14:paraId="1199F1AF" w14:textId="77777777" w:rsidR="00B34E97" w:rsidRDefault="00000000">
      <w:pPr>
        <w:ind w:left="-4"/>
      </w:pPr>
      <w:r>
        <w:t xml:space="preserve">Dear Myrtle, </w:t>
      </w:r>
    </w:p>
    <w:p w14:paraId="59D991E0" w14:textId="77777777" w:rsidR="00B34E97" w:rsidRDefault="00000000">
      <w:pPr>
        <w:spacing w:line="259" w:lineRule="auto"/>
        <w:ind w:left="1" w:firstLine="0"/>
      </w:pPr>
      <w:r>
        <w:t xml:space="preserve"> </w:t>
      </w:r>
    </w:p>
    <w:p w14:paraId="0ABE2D46" w14:textId="52A7EBDD" w:rsidR="00B34E97" w:rsidRDefault="00000000">
      <w:pPr>
        <w:ind w:left="-4"/>
      </w:pPr>
      <w:r>
        <w:t>As we discussed by phone earlier today, our client Regina Poinciana wants the Duchess Electric Company to compensate her after its workers trespassed onto her property and cut down six magnolia tree</w:t>
      </w:r>
      <w:r w:rsidRPr="001752B9">
        <w:rPr>
          <w:color w:val="000000" w:themeColor="text1"/>
        </w:rPr>
        <w:t xml:space="preserve">s. </w:t>
      </w:r>
      <w:r w:rsidR="00764C19">
        <w:rPr>
          <w:b/>
          <w:bCs/>
          <w:color w:val="0061FF"/>
        </w:rPr>
        <w:t>[#</w:t>
      </w:r>
      <w:r w:rsidR="001752B9" w:rsidRPr="001752B9">
        <w:rPr>
          <w:b/>
          <w:bCs/>
          <w:color w:val="0061FF"/>
        </w:rPr>
        <w:t>1</w:t>
      </w:r>
      <w:r w:rsidR="00764C19">
        <w:rPr>
          <w:b/>
          <w:bCs/>
          <w:color w:val="0061FF"/>
        </w:rPr>
        <w:t>]</w:t>
      </w:r>
      <w:r w:rsidR="001752B9" w:rsidRPr="001752B9">
        <w:rPr>
          <w:color w:val="0070C0"/>
        </w:rPr>
        <w:t xml:space="preserve"> </w:t>
      </w:r>
      <w:r>
        <w:t xml:space="preserve">My research suggests that Duchess should pay her the reasonable cost of replacing the trees. </w:t>
      </w:r>
      <w:r w:rsidR="00764C19">
        <w:rPr>
          <w:b/>
          <w:bCs/>
          <w:color w:val="0061FF"/>
        </w:rPr>
        <w:t>[#</w:t>
      </w:r>
      <w:r w:rsidR="001752B9" w:rsidRPr="001752B9">
        <w:rPr>
          <w:b/>
          <w:bCs/>
          <w:color w:val="0061FF"/>
        </w:rPr>
        <w:t>2</w:t>
      </w:r>
      <w:r w:rsidR="00764C19" w:rsidRPr="00365978">
        <w:rPr>
          <w:b/>
          <w:bCs/>
          <w:color w:val="0061FF"/>
        </w:rPr>
        <w:t>]</w:t>
      </w:r>
    </w:p>
    <w:p w14:paraId="3CDB8350" w14:textId="77777777" w:rsidR="00B34E97" w:rsidRDefault="00000000">
      <w:pPr>
        <w:spacing w:line="259" w:lineRule="auto"/>
        <w:ind w:left="1" w:firstLine="0"/>
      </w:pPr>
      <w:r>
        <w:t xml:space="preserve"> </w:t>
      </w:r>
    </w:p>
    <w:p w14:paraId="4C496655" w14:textId="3FCE6312" w:rsidR="00B34E97" w:rsidRPr="001752B9" w:rsidRDefault="00000000">
      <w:pPr>
        <w:ind w:left="-4"/>
        <w:rPr>
          <w:b/>
          <w:bCs/>
        </w:rPr>
      </w:pPr>
      <w:r>
        <w:t xml:space="preserve">“Two alternative measures of damage are available in a suit claiming unlawful cutting of timber: (1) the difference in the value of [the] property immediately before and immediately after the cutting and (2) the value of the timber itself.” </w:t>
      </w:r>
      <w:r w:rsidR="00764C19">
        <w:rPr>
          <w:b/>
          <w:bCs/>
          <w:color w:val="0061FF"/>
        </w:rPr>
        <w:t>[#</w:t>
      </w:r>
      <w:r w:rsidR="001752B9" w:rsidRPr="001752B9">
        <w:rPr>
          <w:b/>
          <w:bCs/>
          <w:color w:val="0061FF"/>
        </w:rPr>
        <w:t>3</w:t>
      </w:r>
      <w:r w:rsidR="00764C19">
        <w:rPr>
          <w:b/>
          <w:bCs/>
          <w:color w:val="0061FF"/>
        </w:rPr>
        <w:t>]</w:t>
      </w:r>
      <w:r w:rsidR="001752B9">
        <w:t xml:space="preserve"> </w:t>
      </w:r>
      <w:r>
        <w:t xml:space="preserve">Plaintiffs often prefer the second measure of damages because it produces a larger recovery. </w:t>
      </w:r>
      <w:r w:rsidR="00764C19">
        <w:rPr>
          <w:b/>
          <w:bCs/>
          <w:color w:val="0061FF"/>
        </w:rPr>
        <w:t>[#</w:t>
      </w:r>
      <w:r w:rsidR="001752B9" w:rsidRPr="001752B9">
        <w:rPr>
          <w:b/>
          <w:bCs/>
          <w:color w:val="0061FF"/>
        </w:rPr>
        <w:t>4</w:t>
      </w:r>
      <w:r w:rsidR="00764C19">
        <w:rPr>
          <w:b/>
          <w:bCs/>
          <w:color w:val="0061FF"/>
        </w:rPr>
        <w:t>]</w:t>
      </w:r>
    </w:p>
    <w:p w14:paraId="36E7B5A7" w14:textId="77777777" w:rsidR="00B34E97" w:rsidRDefault="00000000">
      <w:pPr>
        <w:spacing w:line="259" w:lineRule="auto"/>
        <w:ind w:left="1" w:firstLine="0"/>
      </w:pPr>
      <w:r>
        <w:t xml:space="preserve"> </w:t>
      </w:r>
    </w:p>
    <w:p w14:paraId="72309B49" w14:textId="6BECA231" w:rsidR="00B34E97" w:rsidRPr="001752B9" w:rsidRDefault="00000000">
      <w:pPr>
        <w:ind w:left="-4"/>
        <w:rPr>
          <w:b/>
          <w:bCs/>
        </w:rPr>
      </w:pPr>
      <w:r>
        <w:t xml:space="preserve">In North Carolina, a person is liable for unlawful cutting of timber if they “enter upon the owner’s land and injure, cut, or remove any valuable wood, timber, shrubs, or trees from the land” without the bona fide owner’s consent and permission. </w:t>
      </w:r>
      <w:r w:rsidR="00764C19">
        <w:rPr>
          <w:b/>
          <w:bCs/>
          <w:color w:val="0061FF"/>
        </w:rPr>
        <w:t>[#</w:t>
      </w:r>
      <w:r w:rsidR="001752B9" w:rsidRPr="001752B9">
        <w:rPr>
          <w:b/>
          <w:bCs/>
          <w:color w:val="0061FF"/>
        </w:rPr>
        <w:t>5</w:t>
      </w:r>
      <w:r w:rsidR="00764C19">
        <w:rPr>
          <w:b/>
          <w:bCs/>
          <w:color w:val="0061FF"/>
        </w:rPr>
        <w:t>]</w:t>
      </w:r>
      <w:r w:rsidR="001752B9" w:rsidRPr="001752B9">
        <w:rPr>
          <w:b/>
          <w:bCs/>
          <w:color w:val="0061FF"/>
        </w:rPr>
        <w:t xml:space="preserve"> </w:t>
      </w:r>
      <w:r>
        <w:t xml:space="preserve">The trespasser is liable to the landowner for twice the value of any “wood, timber, shrubs, or trees” that were “injured, cut, or removed.” </w:t>
      </w:r>
      <w:r w:rsidR="00764C19">
        <w:rPr>
          <w:b/>
          <w:bCs/>
          <w:color w:val="0061FF"/>
        </w:rPr>
        <w:t>[#</w:t>
      </w:r>
      <w:r w:rsidR="00764C19">
        <w:rPr>
          <w:b/>
          <w:bCs/>
          <w:color w:val="0061FF"/>
        </w:rPr>
        <w:t>6</w:t>
      </w:r>
      <w:r w:rsidR="00764C19">
        <w:rPr>
          <w:b/>
          <w:bCs/>
          <w:color w:val="0061FF"/>
        </w:rPr>
        <w:t>]</w:t>
      </w:r>
      <w:r w:rsidR="00764C19" w:rsidRPr="001752B9">
        <w:rPr>
          <w:b/>
          <w:bCs/>
          <w:color w:val="0061FF"/>
        </w:rPr>
        <w:t xml:space="preserve"> </w:t>
      </w:r>
      <w:r>
        <w:t>Similarly, setting fire to valuable timber can lead to liability for twice the value of the timber.</w:t>
      </w:r>
      <w:r w:rsidR="001752B9">
        <w:t xml:space="preserve"> </w:t>
      </w:r>
      <w:r w:rsidR="00764C19">
        <w:rPr>
          <w:b/>
          <w:bCs/>
          <w:color w:val="0061FF"/>
        </w:rPr>
        <w:t>[#</w:t>
      </w:r>
      <w:r w:rsidR="00764C19">
        <w:rPr>
          <w:b/>
          <w:bCs/>
          <w:color w:val="0061FF"/>
        </w:rPr>
        <w:t>7</w:t>
      </w:r>
      <w:r w:rsidR="00764C19">
        <w:rPr>
          <w:b/>
          <w:bCs/>
          <w:color w:val="0061FF"/>
        </w:rPr>
        <w:t>]</w:t>
      </w:r>
      <w:r w:rsidR="00764C19" w:rsidRPr="001752B9">
        <w:rPr>
          <w:b/>
          <w:bCs/>
          <w:color w:val="0061FF"/>
        </w:rPr>
        <w:t xml:space="preserve"> </w:t>
      </w:r>
      <w:r>
        <w:t xml:space="preserve">Here, Poinciana is the bona fide owner of the land in question and Duchess entered her land without her permission. </w:t>
      </w:r>
      <w:r w:rsidR="00764C19">
        <w:rPr>
          <w:b/>
          <w:bCs/>
          <w:color w:val="0061FF"/>
        </w:rPr>
        <w:t>[#</w:t>
      </w:r>
      <w:r w:rsidR="00764C19">
        <w:rPr>
          <w:b/>
          <w:bCs/>
          <w:color w:val="0061FF"/>
        </w:rPr>
        <w:t>8</w:t>
      </w:r>
      <w:r w:rsidR="00764C19">
        <w:rPr>
          <w:b/>
          <w:bCs/>
          <w:color w:val="0061FF"/>
        </w:rPr>
        <w:t>]</w:t>
      </w:r>
      <w:r w:rsidR="00764C19" w:rsidRPr="001752B9">
        <w:rPr>
          <w:b/>
          <w:bCs/>
          <w:color w:val="0061FF"/>
        </w:rPr>
        <w:t xml:space="preserve"> </w:t>
      </w:r>
      <w:r>
        <w:t>Duchess also cut six of Poinciana’s trees.</w:t>
      </w:r>
      <w:r w:rsidRPr="001752B9">
        <w:rPr>
          <w:color w:val="0061FF"/>
        </w:rPr>
        <w:t xml:space="preserve"> </w:t>
      </w:r>
      <w:r w:rsidR="00764C19">
        <w:rPr>
          <w:b/>
          <w:bCs/>
          <w:color w:val="0061FF"/>
        </w:rPr>
        <w:t>[#</w:t>
      </w:r>
      <w:r w:rsidR="00764C19">
        <w:rPr>
          <w:b/>
          <w:bCs/>
          <w:color w:val="0061FF"/>
        </w:rPr>
        <w:t>9</w:t>
      </w:r>
      <w:r w:rsidR="00764C19">
        <w:rPr>
          <w:b/>
          <w:bCs/>
          <w:color w:val="0061FF"/>
        </w:rPr>
        <w:t>]</w:t>
      </w:r>
    </w:p>
    <w:p w14:paraId="4DC234A2" w14:textId="77777777" w:rsidR="00B34E97" w:rsidRDefault="00000000">
      <w:pPr>
        <w:spacing w:line="259" w:lineRule="auto"/>
        <w:ind w:left="1" w:firstLine="0"/>
      </w:pPr>
      <w:r>
        <w:t xml:space="preserve"> </w:t>
      </w:r>
    </w:p>
    <w:p w14:paraId="2E6A0118" w14:textId="07510940" w:rsidR="00B34E97" w:rsidRPr="001752B9" w:rsidRDefault="00000000">
      <w:pPr>
        <w:ind w:left="-4"/>
        <w:rPr>
          <w:b/>
          <w:bCs/>
        </w:rPr>
      </w:pPr>
      <w:r>
        <w:t xml:space="preserve">However, a landowner can recover the timber’s commercial value once the timber “has been cut from the stump.” </w:t>
      </w:r>
      <w:r w:rsidR="00764C19">
        <w:rPr>
          <w:b/>
          <w:bCs/>
          <w:color w:val="0061FF"/>
        </w:rPr>
        <w:t>[#</w:t>
      </w:r>
      <w:r w:rsidR="00764C19">
        <w:rPr>
          <w:b/>
          <w:bCs/>
          <w:color w:val="0061FF"/>
        </w:rPr>
        <w:t>10</w:t>
      </w:r>
      <w:r w:rsidR="00764C19">
        <w:rPr>
          <w:b/>
          <w:bCs/>
          <w:color w:val="0061FF"/>
        </w:rPr>
        <w:t>]</w:t>
      </w:r>
      <w:r w:rsidR="00764C19" w:rsidRPr="001752B9">
        <w:rPr>
          <w:b/>
          <w:bCs/>
          <w:color w:val="0061FF"/>
        </w:rPr>
        <w:t xml:space="preserve"> </w:t>
      </w:r>
      <w:r>
        <w:t xml:space="preserve">Ornamental trees do not have commercial value when cut, and therefore cutting ornamental trees cannot lead to enhanced statutory damages. </w:t>
      </w:r>
      <w:r w:rsidR="00764C19">
        <w:rPr>
          <w:b/>
          <w:bCs/>
          <w:color w:val="0061FF"/>
        </w:rPr>
        <w:t>[#</w:t>
      </w:r>
      <w:r w:rsidR="00764C19">
        <w:rPr>
          <w:b/>
          <w:bCs/>
          <w:color w:val="0061FF"/>
        </w:rPr>
        <w:t>11</w:t>
      </w:r>
      <w:r w:rsidR="00764C19">
        <w:rPr>
          <w:b/>
          <w:bCs/>
          <w:color w:val="0061FF"/>
        </w:rPr>
        <w:t>]</w:t>
      </w:r>
      <w:r w:rsidR="00764C19" w:rsidRPr="001752B9">
        <w:rPr>
          <w:b/>
          <w:bCs/>
          <w:color w:val="0061FF"/>
        </w:rPr>
        <w:t xml:space="preserve"> </w:t>
      </w:r>
      <w:r>
        <w:t xml:space="preserve">Poinciana’s magnolia trees were ornamental—they were beautiful to look at and produced pleasant smelling flowers during the summer. </w:t>
      </w:r>
      <w:r w:rsidR="00764C19">
        <w:rPr>
          <w:b/>
          <w:bCs/>
          <w:color w:val="0061FF"/>
        </w:rPr>
        <w:t>[#</w:t>
      </w:r>
      <w:r w:rsidR="00764C19">
        <w:rPr>
          <w:b/>
          <w:bCs/>
          <w:color w:val="0061FF"/>
        </w:rPr>
        <w:t>12</w:t>
      </w:r>
      <w:r w:rsidR="00764C19">
        <w:rPr>
          <w:b/>
          <w:bCs/>
          <w:color w:val="0061FF"/>
        </w:rPr>
        <w:t>]</w:t>
      </w:r>
      <w:r w:rsidR="00764C19" w:rsidRPr="001752B9">
        <w:rPr>
          <w:b/>
          <w:bCs/>
          <w:color w:val="0061FF"/>
        </w:rPr>
        <w:t xml:space="preserve"> </w:t>
      </w:r>
      <w:r>
        <w:t xml:space="preserve">They had no commercial value once cut, and thus Poinciana cannot recover double damages under the statute. </w:t>
      </w:r>
      <w:r w:rsidR="00764C19">
        <w:rPr>
          <w:b/>
          <w:bCs/>
          <w:color w:val="0061FF"/>
        </w:rPr>
        <w:t>[#</w:t>
      </w:r>
      <w:r w:rsidR="00764C19">
        <w:rPr>
          <w:b/>
          <w:bCs/>
          <w:color w:val="0061FF"/>
        </w:rPr>
        <w:t>13</w:t>
      </w:r>
      <w:r w:rsidR="00764C19">
        <w:rPr>
          <w:b/>
          <w:bCs/>
          <w:color w:val="0061FF"/>
        </w:rPr>
        <w:t>]</w:t>
      </w:r>
    </w:p>
    <w:p w14:paraId="33B8D22E" w14:textId="77777777" w:rsidR="00B34E97" w:rsidRDefault="00000000">
      <w:pPr>
        <w:spacing w:line="259" w:lineRule="auto"/>
        <w:ind w:left="1" w:firstLine="0"/>
      </w:pPr>
      <w:r>
        <w:t xml:space="preserve"> </w:t>
      </w:r>
    </w:p>
    <w:p w14:paraId="54640E18" w14:textId="5FAD551B" w:rsidR="00B34E97" w:rsidRDefault="00000000">
      <w:pPr>
        <w:ind w:left="-4"/>
      </w:pPr>
      <w:r>
        <w:t xml:space="preserve">Nevertheless, cutting ornamental trees can still lead to damages for trespass to timber because trees’ aesthetic value directly affects the property’s market value. </w:t>
      </w:r>
      <w:r w:rsidR="00764C19">
        <w:rPr>
          <w:b/>
          <w:bCs/>
          <w:color w:val="0061FF"/>
        </w:rPr>
        <w:t>[#</w:t>
      </w:r>
      <w:r w:rsidR="00764C19">
        <w:rPr>
          <w:b/>
          <w:bCs/>
          <w:color w:val="0061FF"/>
        </w:rPr>
        <w:t>14</w:t>
      </w:r>
      <w:r w:rsidR="00764C19">
        <w:rPr>
          <w:b/>
          <w:bCs/>
          <w:color w:val="0061FF"/>
        </w:rPr>
        <w:t>]</w:t>
      </w:r>
      <w:r w:rsidR="00764C19" w:rsidRPr="001752B9">
        <w:rPr>
          <w:b/>
          <w:bCs/>
          <w:color w:val="0061FF"/>
        </w:rPr>
        <w:t xml:space="preserve"> </w:t>
      </w:r>
      <w:r>
        <w:t xml:space="preserve">The damages can be based on “the cost of reasonable remedial measures, such as replacement.” </w:t>
      </w:r>
      <w:r w:rsidR="00764C19">
        <w:rPr>
          <w:b/>
          <w:bCs/>
          <w:color w:val="0061FF"/>
        </w:rPr>
        <w:t>[#</w:t>
      </w:r>
      <w:r w:rsidR="00764C19">
        <w:rPr>
          <w:b/>
          <w:bCs/>
          <w:color w:val="0061FF"/>
        </w:rPr>
        <w:t>15</w:t>
      </w:r>
      <w:r w:rsidR="00764C19">
        <w:rPr>
          <w:b/>
          <w:bCs/>
          <w:color w:val="0061FF"/>
        </w:rPr>
        <w:t>]</w:t>
      </w:r>
      <w:r w:rsidR="00764C19" w:rsidRPr="001752B9">
        <w:rPr>
          <w:b/>
          <w:bCs/>
          <w:color w:val="0061FF"/>
        </w:rPr>
        <w:t xml:space="preserve"> </w:t>
      </w:r>
      <w:r>
        <w:t xml:space="preserve">Minnesota’s Supreme Court similarly held that, when the defendant negligently suffocated the roots of shade trees on the plaintiff’s property, the proper measure of damages was the trees’ reasonable replacement cost. </w:t>
      </w:r>
      <w:r w:rsidR="00764C19">
        <w:rPr>
          <w:b/>
          <w:bCs/>
          <w:color w:val="0061FF"/>
        </w:rPr>
        <w:t>[#</w:t>
      </w:r>
      <w:r w:rsidR="00764C19">
        <w:rPr>
          <w:b/>
          <w:bCs/>
          <w:color w:val="0061FF"/>
        </w:rPr>
        <w:t>16</w:t>
      </w:r>
      <w:r w:rsidR="00764C19">
        <w:rPr>
          <w:b/>
          <w:bCs/>
          <w:color w:val="0061FF"/>
        </w:rPr>
        <w:t>]</w:t>
      </w:r>
      <w:r w:rsidR="00764C19" w:rsidRPr="001752B9">
        <w:rPr>
          <w:b/>
          <w:bCs/>
          <w:color w:val="0061FF"/>
        </w:rPr>
        <w:t xml:space="preserve"> </w:t>
      </w:r>
      <w:r>
        <w:t xml:space="preserve">The court added, however, that in some situations “from a practical point of view, mature trees cannot be replaced without costs which are wholly disproportionate to the damage inflicted.” </w:t>
      </w:r>
      <w:r w:rsidR="00764C19">
        <w:rPr>
          <w:b/>
          <w:bCs/>
          <w:color w:val="0061FF"/>
        </w:rPr>
        <w:t>[#</w:t>
      </w:r>
      <w:r w:rsidR="00764C19">
        <w:rPr>
          <w:b/>
          <w:bCs/>
          <w:color w:val="0061FF"/>
        </w:rPr>
        <w:t>17</w:t>
      </w:r>
      <w:r w:rsidR="00764C19">
        <w:rPr>
          <w:b/>
          <w:bCs/>
          <w:color w:val="0061FF"/>
        </w:rPr>
        <w:t>]</w:t>
      </w:r>
      <w:r w:rsidR="00764C19" w:rsidRPr="001752B9">
        <w:rPr>
          <w:b/>
          <w:bCs/>
          <w:color w:val="0061FF"/>
        </w:rPr>
        <w:t xml:space="preserve"> </w:t>
      </w:r>
      <w:r>
        <w:t xml:space="preserve">In those situations, replacing the trees will not exactly duplicate the trees that were lost. </w:t>
      </w:r>
      <w:r w:rsidR="00764C19">
        <w:rPr>
          <w:b/>
          <w:bCs/>
          <w:color w:val="0061FF"/>
        </w:rPr>
        <w:t>[#</w:t>
      </w:r>
      <w:r w:rsidR="00764C19">
        <w:rPr>
          <w:b/>
          <w:bCs/>
          <w:color w:val="0061FF"/>
        </w:rPr>
        <w:t>18</w:t>
      </w:r>
      <w:r w:rsidR="00764C19">
        <w:rPr>
          <w:b/>
          <w:bCs/>
          <w:color w:val="0061FF"/>
        </w:rPr>
        <w:t>]</w:t>
      </w:r>
    </w:p>
    <w:p w14:paraId="1D7D9154" w14:textId="77777777" w:rsidR="00B34E97" w:rsidRDefault="00000000">
      <w:pPr>
        <w:spacing w:line="259" w:lineRule="auto"/>
        <w:ind w:left="1" w:firstLine="0"/>
      </w:pPr>
      <w:r>
        <w:t xml:space="preserve"> </w:t>
      </w:r>
    </w:p>
    <w:p w14:paraId="092EFEB2" w14:textId="77777777" w:rsidR="00162BDD" w:rsidRDefault="00162BDD">
      <w:pPr>
        <w:spacing w:line="259" w:lineRule="auto"/>
        <w:ind w:left="1" w:firstLine="0"/>
      </w:pPr>
    </w:p>
    <w:p w14:paraId="753CF87D" w14:textId="77777777" w:rsidR="00B34E97" w:rsidRDefault="00000000">
      <w:pPr>
        <w:ind w:left="-4"/>
      </w:pPr>
      <w:r>
        <w:lastRenderedPageBreak/>
        <w:t xml:space="preserve">Some initial research into replacing magnolia trees suggests that Poinciana’s 30-foot-tall magnolia trees cannot be exactly duplicated because the largest </w:t>
      </w:r>
      <w:r>
        <w:rPr>
          <w:i/>
        </w:rPr>
        <w:t>Magnolia grandiflora</w:t>
      </w:r>
      <w:r>
        <w:t xml:space="preserve"> available for purchase are 4-5 feet tall. They cost $219.99 each at Brighter Blooms. This number could be a starting point for negotiating a payment from Duchess. </w:t>
      </w:r>
    </w:p>
    <w:p w14:paraId="3F15BD5C" w14:textId="77777777" w:rsidR="00B34E97" w:rsidRDefault="00000000">
      <w:pPr>
        <w:spacing w:line="259" w:lineRule="auto"/>
        <w:ind w:left="1" w:firstLine="0"/>
      </w:pPr>
      <w:r>
        <w:t xml:space="preserve"> </w:t>
      </w:r>
    </w:p>
    <w:p w14:paraId="400E461E" w14:textId="77777777" w:rsidR="00B34E97" w:rsidRDefault="00000000">
      <w:pPr>
        <w:ind w:left="-4"/>
      </w:pPr>
      <w:r>
        <w:t xml:space="preserve">All my best, </w:t>
      </w:r>
    </w:p>
    <w:p w14:paraId="7EA4C29D" w14:textId="77777777" w:rsidR="00B34E97" w:rsidRDefault="00000000">
      <w:pPr>
        <w:ind w:left="-4"/>
      </w:pPr>
      <w:r>
        <w:t xml:space="preserve">Argentea </w:t>
      </w:r>
    </w:p>
    <w:p w14:paraId="11CAF973" w14:textId="77777777" w:rsidR="00B34E97" w:rsidRDefault="00000000">
      <w:pPr>
        <w:spacing w:line="259" w:lineRule="auto"/>
        <w:ind w:left="1" w:firstLine="0"/>
      </w:pPr>
      <w:r>
        <w:t xml:space="preserve"> </w:t>
      </w:r>
    </w:p>
    <w:p w14:paraId="54E91151" w14:textId="772DC76B" w:rsidR="00B34E97" w:rsidRDefault="00000000" w:rsidP="00584619">
      <w:pPr>
        <w:spacing w:line="259" w:lineRule="auto"/>
        <w:ind w:left="1"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r>
        <w:br w:type="page"/>
      </w:r>
    </w:p>
    <w:sectPr w:rsidR="00B34E97">
      <w:footerReference w:type="even" r:id="rId7"/>
      <w:footerReference w:type="default" r:id="rId8"/>
      <w:footerReference w:type="first" r:id="rId9"/>
      <w:pgSz w:w="12240" w:h="15840"/>
      <w:pgMar w:top="1496" w:right="1443" w:bottom="456"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E0E6CCF" w14:textId="77777777" w:rsidR="005E5954" w:rsidRDefault="005E5954">
      <w:pPr>
        <w:spacing w:line="240" w:lineRule="auto"/>
      </w:pPr>
      <w:r>
        <w:separator/>
      </w:r>
    </w:p>
  </w:endnote>
  <w:endnote w:type="continuationSeparator" w:id="0">
    <w:p w14:paraId="126BC62F" w14:textId="77777777" w:rsidR="005E5954" w:rsidRDefault="005E59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Garamond">
    <w:altName w:val="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9C5CED" w14:textId="77777777" w:rsidR="00B34E97" w:rsidRDefault="00B34E9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836D6B" w14:textId="3D88C78D" w:rsidR="00B34E97" w:rsidRDefault="00162BDD" w:rsidP="00162BDD">
    <w:pPr>
      <w:spacing w:line="259" w:lineRule="auto"/>
      <w:ind w:left="5" w:firstLine="0"/>
      <w:jc w:val="center"/>
    </w:pPr>
    <w:r>
      <w:rPr>
        <w:sz w:val="24"/>
      </w:rPr>
      <w:t>RRWA Fall 2021 Write-A-Cite Quiz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4413BD0" w14:textId="77777777" w:rsidR="00B34E97" w:rsidRDefault="00B34E9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0BEA13B" w14:textId="77777777" w:rsidR="005E5954" w:rsidRDefault="005E5954">
      <w:pPr>
        <w:spacing w:line="240" w:lineRule="auto"/>
      </w:pPr>
      <w:r>
        <w:separator/>
      </w:r>
    </w:p>
  </w:footnote>
  <w:footnote w:type="continuationSeparator" w:id="0">
    <w:p w14:paraId="47E571D9" w14:textId="77777777" w:rsidR="005E5954" w:rsidRDefault="005E59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C0061CB"/>
    <w:multiLevelType w:val="hybridMultilevel"/>
    <w:tmpl w:val="0E983490"/>
    <w:lvl w:ilvl="0" w:tplc="07DCE83E">
      <w:start w:val="1"/>
      <w:numFmt w:val="lowerLetter"/>
      <w:lvlText w:val="(%1)"/>
      <w:lvlJc w:val="left"/>
      <w:pPr>
        <w:ind w:left="721"/>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1" w:tplc="58DC8BDC">
      <w:start w:val="1"/>
      <w:numFmt w:val="lowerLetter"/>
      <w:lvlText w:val="%2"/>
      <w:lvlJc w:val="left"/>
      <w:pPr>
        <w:ind w:left="144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2" w:tplc="F97C903A">
      <w:start w:val="1"/>
      <w:numFmt w:val="lowerRoman"/>
      <w:lvlText w:val="%3"/>
      <w:lvlJc w:val="left"/>
      <w:pPr>
        <w:ind w:left="216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3" w:tplc="66C070B6">
      <w:start w:val="1"/>
      <w:numFmt w:val="decimal"/>
      <w:lvlText w:val="%4"/>
      <w:lvlJc w:val="left"/>
      <w:pPr>
        <w:ind w:left="288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4" w:tplc="64CA3036">
      <w:start w:val="1"/>
      <w:numFmt w:val="lowerLetter"/>
      <w:lvlText w:val="%5"/>
      <w:lvlJc w:val="left"/>
      <w:pPr>
        <w:ind w:left="360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5" w:tplc="0ACED9E4">
      <w:start w:val="1"/>
      <w:numFmt w:val="lowerRoman"/>
      <w:lvlText w:val="%6"/>
      <w:lvlJc w:val="left"/>
      <w:pPr>
        <w:ind w:left="432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6" w:tplc="B6DCBDE6">
      <w:start w:val="1"/>
      <w:numFmt w:val="decimal"/>
      <w:lvlText w:val="%7"/>
      <w:lvlJc w:val="left"/>
      <w:pPr>
        <w:ind w:left="504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7" w:tplc="9F96DC44">
      <w:start w:val="1"/>
      <w:numFmt w:val="lowerLetter"/>
      <w:lvlText w:val="%8"/>
      <w:lvlJc w:val="left"/>
      <w:pPr>
        <w:ind w:left="576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lvl w:ilvl="8" w:tplc="B02867F4">
      <w:start w:val="1"/>
      <w:numFmt w:val="lowerRoman"/>
      <w:lvlText w:val="%9"/>
      <w:lvlJc w:val="left"/>
      <w:pPr>
        <w:ind w:left="6480"/>
      </w:pPr>
      <w:rPr>
        <w:rFonts w:ascii="Garamond" w:eastAsia="Garamond" w:hAnsi="Garamond" w:cs="Garamond"/>
        <w:b w:val="0"/>
        <w:i w:val="0"/>
        <w:strike w:val="0"/>
        <w:dstrike w:val="0"/>
        <w:color w:val="000000"/>
        <w:sz w:val="26"/>
        <w:szCs w:val="26"/>
        <w:u w:val="none" w:color="000000"/>
        <w:bdr w:val="none" w:sz="0" w:space="0" w:color="auto"/>
        <w:shd w:val="clear" w:color="auto" w:fill="auto"/>
        <w:vertAlign w:val="baseline"/>
      </w:rPr>
    </w:lvl>
  </w:abstractNum>
  <w:num w:numId="1" w16cid:durableId="106209342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97"/>
    <w:rsid w:val="00162BDD"/>
    <w:rsid w:val="001752B9"/>
    <w:rsid w:val="00365978"/>
    <w:rsid w:val="00584619"/>
    <w:rsid w:val="005E3033"/>
    <w:rsid w:val="005E5954"/>
    <w:rsid w:val="00764C19"/>
    <w:rsid w:val="00AD01BC"/>
    <w:rsid w:val="00B3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E9FCDB"/>
  <w15:docId w15:val="{9629042C-AE43-0E45-8688-CD03BDFE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1" w:hanging="10"/>
    </w:pPr>
    <w:rPr>
      <w:rFonts w:ascii="Garamond" w:eastAsia="Garamond" w:hAnsi="Garamond" w:cs="Garamond"/>
      <w:color w:val="000000"/>
      <w:sz w:val="26"/>
    </w:rPr>
  </w:style>
  <w:style w:type="paragraph" w:styleId="Heading1">
    <w:name w:val="heading 1"/>
    <w:next w:val="Normal"/>
    <w:link w:val="Heading1Char"/>
    <w:uiPriority w:val="9"/>
    <w:qFormat/>
    <w:pPr>
      <w:keepNext/>
      <w:keepLines/>
      <w:spacing w:after="0" w:line="259" w:lineRule="auto"/>
      <w:ind w:left="11" w:hanging="10"/>
      <w:outlineLvl w:val="0"/>
    </w:pPr>
    <w:rPr>
      <w:rFonts w:ascii="Garamond" w:eastAsia="Garamond" w:hAnsi="Garamond" w:cs="Garamond"/>
      <w:color w:val="000000"/>
      <w:sz w:val="40"/>
    </w:rPr>
  </w:style>
  <w:style w:type="paragraph" w:styleId="Heading2">
    <w:name w:val="heading 2"/>
    <w:next w:val="Normal"/>
    <w:link w:val="Heading2Char"/>
    <w:uiPriority w:val="9"/>
    <w:unhideWhenUsed/>
    <w:qFormat/>
    <w:pPr>
      <w:keepNext/>
      <w:keepLines/>
      <w:spacing w:after="0" w:line="259" w:lineRule="auto"/>
      <w:ind w:left="11" w:hanging="10"/>
      <w:outlineLvl w:val="1"/>
    </w:pPr>
    <w:rPr>
      <w:rFonts w:ascii="Garamond" w:eastAsia="Garamond" w:hAnsi="Garamond" w:cs="Garamond"/>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8"/>
    </w:rPr>
  </w:style>
  <w:style w:type="character" w:customStyle="1" w:styleId="Heading1Char">
    <w:name w:val="Heading 1 Char"/>
    <w:link w:val="Heading1"/>
    <w:rPr>
      <w:rFonts w:ascii="Garamond" w:eastAsia="Garamond" w:hAnsi="Garamond" w:cs="Garamond"/>
      <w:color w:val="000000"/>
      <w:sz w:val="40"/>
    </w:rPr>
  </w:style>
  <w:style w:type="paragraph" w:styleId="Header">
    <w:name w:val="header"/>
    <w:basedOn w:val="Normal"/>
    <w:link w:val="HeaderChar"/>
    <w:uiPriority w:val="99"/>
    <w:unhideWhenUsed/>
    <w:rsid w:val="001752B9"/>
    <w:pPr>
      <w:tabs>
        <w:tab w:val="center" w:pos="4680"/>
        <w:tab w:val="right" w:pos="9360"/>
      </w:tabs>
      <w:spacing w:line="240" w:lineRule="auto"/>
    </w:pPr>
  </w:style>
  <w:style w:type="character" w:customStyle="1" w:styleId="HeaderChar">
    <w:name w:val="Header Char"/>
    <w:basedOn w:val="DefaultParagraphFont"/>
    <w:link w:val="Header"/>
    <w:uiPriority w:val="99"/>
    <w:rsid w:val="001752B9"/>
    <w:rPr>
      <w:rFonts w:ascii="Garamond" w:eastAsia="Garamond" w:hAnsi="Garamond" w:cs="Garamond"/>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Warf, Sara B</dc:creator>
  <cp:keywords/>
  <cp:lastModifiedBy>Daukaus, Lauren</cp:lastModifiedBy>
  <cp:revision>5</cp:revision>
  <dcterms:created xsi:type="dcterms:W3CDTF">2026-07-22T03:13:00Z</dcterms:created>
  <dcterms:modified xsi:type="dcterms:W3CDTF">2026-07-22T03:36:00Z</dcterms:modified>
</cp:coreProperties>
</file>