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96C327E" w14:textId="57F78FB2" w:rsidR="00001207" w:rsidRPr="00001207" w:rsidRDefault="00001207" w:rsidP="00001207">
      <w:pPr>
        <w:pStyle w:val="Heading1"/>
        <w:spacing w:before="0" w:line="240" w:lineRule="auto"/>
        <w:ind w:left="0" w:firstLine="0"/>
        <w:rPr>
          <w:rFonts w:ascii="Garamond" w:hAnsi="Garamond"/>
          <w:color w:val="000000" w:themeColor="text1"/>
        </w:rPr>
      </w:pPr>
      <w:r w:rsidRPr="00001207">
        <w:rPr>
          <w:rFonts w:ascii="Garamond" w:hAnsi="Garamond"/>
          <w:color w:val="000000" w:themeColor="text1"/>
        </w:rPr>
        <w:t xml:space="preserve">Fall 2021 Quiz: </w:t>
      </w:r>
      <w:r w:rsidRPr="00001207">
        <w:rPr>
          <w:rFonts w:ascii="Garamond" w:hAnsi="Garamond"/>
          <w:color w:val="000000" w:themeColor="text1"/>
        </w:rPr>
        <w:t xml:space="preserve">Legal Authorities </w:t>
      </w:r>
    </w:p>
    <w:p w14:paraId="66D9D02F"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4D147A32" w14:textId="77777777" w:rsidR="00001207" w:rsidRPr="00001207" w:rsidRDefault="00001207" w:rsidP="00001207">
      <w:pPr>
        <w:spacing w:line="240" w:lineRule="auto"/>
        <w:ind w:left="-4"/>
        <w:rPr>
          <w:color w:val="000000" w:themeColor="text1"/>
        </w:rPr>
      </w:pPr>
      <w:r w:rsidRPr="00001207">
        <w:rPr>
          <w:b/>
          <w:color w:val="000000" w:themeColor="text1"/>
        </w:rPr>
        <w:t>Reminder:</w:t>
      </w:r>
      <w:r w:rsidRPr="00001207">
        <w:rPr>
          <w:color w:val="000000" w:themeColor="text1"/>
        </w:rPr>
        <w:t xml:space="preserve"> We have significantly edited many of these authorities, including the case names and citations. Accordingly, do not use or cite these authorities for any other purpose besides this assessment.  </w:t>
      </w:r>
    </w:p>
    <w:p w14:paraId="25A0AD9A" w14:textId="77777777" w:rsidR="00001207" w:rsidRPr="00001207" w:rsidRDefault="00001207" w:rsidP="00001207">
      <w:pPr>
        <w:spacing w:line="240" w:lineRule="auto"/>
        <w:ind w:left="-28" w:right="-33" w:firstLine="0"/>
        <w:rPr>
          <w:color w:val="000000" w:themeColor="text1"/>
        </w:rPr>
      </w:pPr>
      <w:r w:rsidRPr="00001207">
        <w:rPr>
          <w:rFonts w:eastAsia="Calibri" w:cs="Calibri"/>
          <w:noProof/>
          <w:color w:val="000000" w:themeColor="text1"/>
          <w:sz w:val="22"/>
        </w:rPr>
        <mc:AlternateContent>
          <mc:Choice Requires="wpg">
            <w:drawing>
              <wp:inline distT="0" distB="0" distL="0" distR="0" wp14:anchorId="234DCAE3" wp14:editId="7A6D29BF">
                <wp:extent cx="5980176" cy="9144"/>
                <wp:effectExtent l="0" t="0" r="0" b="0"/>
                <wp:docPr id="5508" name="Group 5508"/>
                <wp:cNvGraphicFramePr/>
                <a:graphic xmlns:a="http://schemas.openxmlformats.org/drawingml/2006/main">
                  <a:graphicData uri="http://schemas.microsoft.com/office/word/2010/wordprocessingGroup">
                    <wpg:wgp>
                      <wpg:cNvGrpSpPr/>
                      <wpg:grpSpPr>
                        <a:xfrm>
                          <a:off x="0" y="0"/>
                          <a:ext cx="5980176" cy="9144"/>
                          <a:chOff x="0" y="0"/>
                          <a:chExt cx="5980176" cy="9144"/>
                        </a:xfrm>
                      </wpg:grpSpPr>
                      <wps:wsp>
                        <wps:cNvPr id="6412" name="Shape 6412"/>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341CB0" id="Group 5508" o:spid="_x0000_s1026" style="width:470.9pt;height:.7pt;mso-position-horizontal-relative:char;mso-position-vertical-relative:line" coordsize="59801,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">
                <v:shape id="Shape 6412" o:spid="_x0000_s1027" style="position:absolute;width:59801;height:91;visibility:visible;mso-wrap-style:square;v-text-anchor:top" coordsize="598017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" path="m,l5980176,r,9144l,9144,,e" fillcolor="black" stroked="f" strokeweight="0">
                  <v:stroke miterlimit="83231f" joinstyle="miter"/>
                  <v:path arrowok="t" textboxrect="0,0,5980176,9144"/>
                </v:shape>
                <w10:anchorlock/>
              </v:group>
            </w:pict>
          </mc:Fallback>
        </mc:AlternateContent>
      </w:r>
    </w:p>
    <w:p w14:paraId="2030B3D4"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076F9F6A" w14:textId="77777777" w:rsidR="00001207" w:rsidRPr="00001207" w:rsidRDefault="00001207" w:rsidP="00001207">
      <w:pPr>
        <w:pStyle w:val="Heading2"/>
        <w:spacing w:before="0" w:line="240" w:lineRule="auto"/>
        <w:ind w:left="-4"/>
        <w:rPr>
          <w:rFonts w:ascii="Garamond" w:hAnsi="Garamond"/>
          <w:color w:val="000000" w:themeColor="text1"/>
        </w:rPr>
      </w:pPr>
      <w:r w:rsidRPr="00001207">
        <w:rPr>
          <w:rFonts w:ascii="Garamond" w:hAnsi="Garamond"/>
          <w:color w:val="000000" w:themeColor="text1"/>
        </w:rPr>
        <w:t xml:space="preserve">Authority 1 </w:t>
      </w:r>
    </w:p>
    <w:p w14:paraId="60435F5A"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13ADE23B" w14:textId="77777777" w:rsidR="00001207" w:rsidRPr="00001207" w:rsidRDefault="00001207" w:rsidP="00001207">
      <w:pPr>
        <w:spacing w:line="240" w:lineRule="auto"/>
        <w:ind w:left="-4"/>
        <w:rPr>
          <w:color w:val="000000" w:themeColor="text1"/>
        </w:rPr>
      </w:pPr>
      <w:r w:rsidRPr="00001207">
        <w:rPr>
          <w:color w:val="000000" w:themeColor="text1"/>
        </w:rPr>
        <w:t xml:space="preserve">Authority 1 appears in a print book. The spine of the book is dated 2019, and the book’s cover states that the book contains North Carolina’s official statutory compilation and is published by LexisNexis. </w:t>
      </w:r>
    </w:p>
    <w:p w14:paraId="10CC9F71"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150D79C3" w14:textId="77777777" w:rsidR="00001207" w:rsidRPr="00001207" w:rsidRDefault="00001207" w:rsidP="00001207">
      <w:pPr>
        <w:spacing w:line="240" w:lineRule="auto"/>
        <w:ind w:left="-4"/>
        <w:rPr>
          <w:color w:val="000000" w:themeColor="text1"/>
        </w:rPr>
      </w:pPr>
      <w:r w:rsidRPr="00001207">
        <w:rPr>
          <w:b/>
          <w:color w:val="000000" w:themeColor="text1"/>
        </w:rPr>
        <w:t xml:space="preserve">Chapter 1. Civil Procedure </w:t>
      </w:r>
    </w:p>
    <w:p w14:paraId="4104DACC" w14:textId="77777777" w:rsidR="00001207" w:rsidRPr="00001207" w:rsidRDefault="00001207" w:rsidP="00001207">
      <w:pPr>
        <w:spacing w:line="240" w:lineRule="auto"/>
        <w:ind w:left="443"/>
        <w:rPr>
          <w:color w:val="000000" w:themeColor="text1"/>
        </w:rPr>
      </w:pPr>
      <w:r w:rsidRPr="00001207">
        <w:rPr>
          <w:b/>
          <w:color w:val="000000" w:themeColor="text1"/>
        </w:rPr>
        <w:t xml:space="preserve">Article 4. Nuisance and Other Wrongs </w:t>
      </w:r>
    </w:p>
    <w:p w14:paraId="724A9D59" w14:textId="77777777" w:rsidR="00001207" w:rsidRPr="00001207" w:rsidRDefault="00001207" w:rsidP="00001207">
      <w:pPr>
        <w:spacing w:line="240" w:lineRule="auto"/>
        <w:ind w:left="0" w:right="166" w:firstLine="0"/>
        <w:jc w:val="right"/>
        <w:rPr>
          <w:color w:val="000000" w:themeColor="text1"/>
        </w:rPr>
      </w:pPr>
      <w:r w:rsidRPr="00001207">
        <w:rPr>
          <w:b/>
          <w:color w:val="000000" w:themeColor="text1"/>
        </w:rPr>
        <w:t>Section 1-539.1. Damages for unlawful cutting, removal or burning of timber</w:t>
      </w:r>
      <w:r w:rsidRPr="00001207">
        <w:rPr>
          <w:color w:val="000000" w:themeColor="text1"/>
        </w:rPr>
        <w:t xml:space="preserve"> </w:t>
      </w:r>
    </w:p>
    <w:p w14:paraId="338345FC" w14:textId="77777777" w:rsidR="00001207" w:rsidRPr="00001207" w:rsidRDefault="00001207" w:rsidP="00001207">
      <w:pPr>
        <w:spacing w:after="104" w:line="240" w:lineRule="auto"/>
        <w:ind w:left="1" w:firstLine="0"/>
        <w:rPr>
          <w:color w:val="000000" w:themeColor="text1"/>
        </w:rPr>
      </w:pPr>
      <w:r w:rsidRPr="00001207">
        <w:rPr>
          <w:color w:val="000000" w:themeColor="text1"/>
        </w:rPr>
        <w:t xml:space="preserve"> </w:t>
      </w:r>
    </w:p>
    <w:p w14:paraId="4E20A88A" w14:textId="77777777" w:rsidR="00001207" w:rsidRPr="00001207" w:rsidRDefault="00001207" w:rsidP="00001207">
      <w:pPr>
        <w:numPr>
          <w:ilvl w:val="0"/>
          <w:numId w:val="1"/>
        </w:numPr>
        <w:spacing w:after="121" w:line="240" w:lineRule="auto"/>
        <w:ind w:hanging="360"/>
        <w:rPr>
          <w:color w:val="000000" w:themeColor="text1"/>
        </w:rPr>
      </w:pPr>
      <w:r w:rsidRPr="00001207">
        <w:rPr>
          <w:color w:val="000000" w:themeColor="text1"/>
        </w:rPr>
        <w:t xml:space="preserve">Any person, firm, or corporation, that is not the bona fide owner or agent of the owner, who shall without the consent and permission of the bona fide owner enter upon the owner’s land and injure, cut, or remove any valuable wood, timber, shrubs, or trees from the land, shall be liable to the land’s owner for double the value of such wood, timber, shrubs, or trees so injured, cut or removed. </w:t>
      </w:r>
    </w:p>
    <w:p w14:paraId="55EEA7B9" w14:textId="77777777" w:rsidR="00001207" w:rsidRPr="00001207" w:rsidRDefault="00001207" w:rsidP="00001207">
      <w:pPr>
        <w:numPr>
          <w:ilvl w:val="0"/>
          <w:numId w:val="1"/>
        </w:numPr>
        <w:spacing w:after="122" w:line="240" w:lineRule="auto"/>
        <w:ind w:hanging="360"/>
        <w:rPr>
          <w:color w:val="000000" w:themeColor="text1"/>
        </w:rPr>
      </w:pPr>
      <w:r w:rsidRPr="00001207">
        <w:rPr>
          <w:color w:val="000000" w:themeColor="text1"/>
        </w:rPr>
        <w:t xml:space="preserve">If any person, firm, or corporation shall willfully and intentionally set on fire, or cause to be set on fire, in any manner whatever, any valuable wood, timber, or trees on the lands of another, such person, firm, or corporation shall be liable to the owner of said lands for double the value of such wood, timber, or trees damaged or destroyed thereby. </w:t>
      </w:r>
    </w:p>
    <w:p w14:paraId="3FA54C22" w14:textId="77777777" w:rsidR="00001207" w:rsidRPr="00001207" w:rsidRDefault="00001207" w:rsidP="00001207">
      <w:pPr>
        <w:numPr>
          <w:ilvl w:val="0"/>
          <w:numId w:val="1"/>
        </w:numPr>
        <w:spacing w:line="240" w:lineRule="auto"/>
        <w:ind w:hanging="360"/>
        <w:rPr>
          <w:color w:val="000000" w:themeColor="text1"/>
        </w:rPr>
      </w:pPr>
      <w:r w:rsidRPr="00001207">
        <w:rPr>
          <w:color w:val="000000" w:themeColor="text1"/>
        </w:rPr>
        <w:t xml:space="preserve">Any person, firm, or corporation cutting timber under contract and incurring damages as provided in subsection (a) of this section as a result of a </w:t>
      </w:r>
    </w:p>
    <w:p w14:paraId="43668BB8" w14:textId="77777777" w:rsidR="00001207" w:rsidRPr="00001207" w:rsidRDefault="00001207" w:rsidP="00001207">
      <w:pPr>
        <w:spacing w:line="240" w:lineRule="auto"/>
        <w:ind w:left="730"/>
        <w:rPr>
          <w:color w:val="000000" w:themeColor="text1"/>
        </w:rPr>
      </w:pPr>
      <w:r w:rsidRPr="00001207">
        <w:rPr>
          <w:color w:val="000000" w:themeColor="text1"/>
        </w:rPr>
        <w:t xml:space="preserve">misrepresentation of property lines by the party letting the contract shall be entitled to reimbursement from the party letting the contract for damages incurred. </w:t>
      </w:r>
    </w:p>
    <w:p w14:paraId="500AE3BD" w14:textId="77777777" w:rsidR="00001207" w:rsidRPr="00001207" w:rsidRDefault="00001207" w:rsidP="00001207">
      <w:pPr>
        <w:spacing w:line="240" w:lineRule="auto"/>
        <w:ind w:left="1" w:firstLine="0"/>
        <w:rPr>
          <w:color w:val="000000" w:themeColor="text1"/>
        </w:rPr>
      </w:pPr>
      <w:r w:rsidRPr="00001207">
        <w:rPr>
          <w:rFonts w:eastAsia="Times New Roman" w:cs="Times New Roman"/>
          <w:color w:val="000000" w:themeColor="text1"/>
          <w:sz w:val="24"/>
        </w:rPr>
        <w:t xml:space="preserve"> </w:t>
      </w:r>
      <w:r w:rsidRPr="00001207">
        <w:rPr>
          <w:rFonts w:eastAsia="Times New Roman" w:cs="Times New Roman"/>
          <w:color w:val="000000" w:themeColor="text1"/>
          <w:sz w:val="24"/>
        </w:rPr>
        <w:tab/>
        <w:t xml:space="preserve"> </w:t>
      </w:r>
    </w:p>
    <w:p w14:paraId="1D0B5073" w14:textId="77777777" w:rsidR="00001207" w:rsidRDefault="00001207" w:rsidP="00001207">
      <w:pPr>
        <w:spacing w:line="240" w:lineRule="auto"/>
        <w:ind w:left="0" w:firstLine="0"/>
        <w:rPr>
          <w:rFonts w:eastAsiaTheme="majorEastAsia" w:cstheme="majorBidi"/>
          <w:color w:val="000000" w:themeColor="text1"/>
          <w:sz w:val="32"/>
          <w:szCs w:val="32"/>
        </w:rPr>
      </w:pPr>
      <w:r>
        <w:rPr>
          <w:color w:val="000000" w:themeColor="text1"/>
        </w:rPr>
        <w:br w:type="page"/>
      </w:r>
    </w:p>
    <w:p w14:paraId="4CCFB7F4" w14:textId="3F723FED" w:rsidR="00001207" w:rsidRPr="00001207" w:rsidRDefault="00001207" w:rsidP="00001207">
      <w:pPr>
        <w:pStyle w:val="Heading2"/>
        <w:spacing w:before="0" w:line="240" w:lineRule="auto"/>
        <w:ind w:left="-4"/>
        <w:rPr>
          <w:rFonts w:ascii="Garamond" w:hAnsi="Garamond"/>
          <w:color w:val="000000" w:themeColor="text1"/>
        </w:rPr>
      </w:pPr>
      <w:r w:rsidRPr="00001207">
        <w:rPr>
          <w:rFonts w:ascii="Garamond" w:hAnsi="Garamond"/>
          <w:color w:val="000000" w:themeColor="text1"/>
        </w:rPr>
        <w:lastRenderedPageBreak/>
        <w:t>Authority 2</w:t>
      </w:r>
    </w:p>
    <w:p w14:paraId="57D0F3DD"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06285887" w14:textId="77777777" w:rsidR="00001207" w:rsidRPr="00001207" w:rsidRDefault="00001207" w:rsidP="00001207">
      <w:pPr>
        <w:spacing w:line="240" w:lineRule="auto"/>
        <w:ind w:left="-4"/>
        <w:rPr>
          <w:color w:val="000000" w:themeColor="text1"/>
        </w:rPr>
      </w:pPr>
      <w:r w:rsidRPr="00001207">
        <w:rPr>
          <w:color w:val="000000" w:themeColor="text1"/>
        </w:rPr>
        <w:t xml:space="preserve">Authority 2 appears in a print book. The book is Volume 27A, dated </w:t>
      </w:r>
      <w:proofErr w:type="gramStart"/>
      <w:r w:rsidRPr="00001207">
        <w:rPr>
          <w:color w:val="000000" w:themeColor="text1"/>
        </w:rPr>
        <w:t>2020,</w:t>
      </w:r>
      <w:proofErr w:type="gramEnd"/>
      <w:r w:rsidRPr="00001207">
        <w:rPr>
          <w:color w:val="000000" w:themeColor="text1"/>
        </w:rPr>
        <w:t xml:space="preserve"> of Strong’s North Carolina Index 4th, and states in part the following on page 104: </w:t>
      </w:r>
    </w:p>
    <w:p w14:paraId="54D8F474"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2226F5F0" w14:textId="77777777" w:rsidR="00001207" w:rsidRPr="00001207" w:rsidRDefault="00001207" w:rsidP="00001207">
      <w:pPr>
        <w:spacing w:after="11" w:line="240" w:lineRule="auto"/>
        <w:ind w:left="15" w:right="1"/>
        <w:jc w:val="center"/>
        <w:rPr>
          <w:color w:val="000000" w:themeColor="text1"/>
        </w:rPr>
      </w:pPr>
      <w:r w:rsidRPr="00001207">
        <w:rPr>
          <w:color w:val="000000" w:themeColor="text1"/>
        </w:rPr>
        <w:t xml:space="preserve">Rachel M. Kane, M.A., J.D. </w:t>
      </w:r>
    </w:p>
    <w:p w14:paraId="4BB5ABF6" w14:textId="77777777" w:rsidR="00001207" w:rsidRPr="00001207" w:rsidRDefault="00001207" w:rsidP="00001207">
      <w:pPr>
        <w:spacing w:after="11" w:line="240" w:lineRule="auto"/>
        <w:ind w:left="15" w:right="2"/>
        <w:jc w:val="center"/>
        <w:rPr>
          <w:color w:val="000000" w:themeColor="text1"/>
        </w:rPr>
      </w:pPr>
      <w:r w:rsidRPr="00001207">
        <w:rPr>
          <w:color w:val="000000" w:themeColor="text1"/>
        </w:rPr>
        <w:t xml:space="preserve">I. Civil Trespass </w:t>
      </w:r>
    </w:p>
    <w:p w14:paraId="1392E9EA" w14:textId="77777777" w:rsidR="00001207" w:rsidRPr="00001207" w:rsidRDefault="00001207" w:rsidP="00001207">
      <w:pPr>
        <w:spacing w:after="11" w:line="240" w:lineRule="auto"/>
        <w:ind w:left="3972" w:right="3895"/>
        <w:jc w:val="center"/>
        <w:rPr>
          <w:color w:val="000000" w:themeColor="text1"/>
        </w:rPr>
      </w:pPr>
      <w:r w:rsidRPr="00001207">
        <w:rPr>
          <w:color w:val="000000" w:themeColor="text1"/>
        </w:rPr>
        <w:t xml:space="preserve">B. Remedies 2. Damages </w:t>
      </w:r>
    </w:p>
    <w:p w14:paraId="06247EEB" w14:textId="77777777" w:rsidR="00001207" w:rsidRPr="00001207" w:rsidRDefault="00001207" w:rsidP="00001207">
      <w:pPr>
        <w:spacing w:after="11" w:line="240" w:lineRule="auto"/>
        <w:ind w:left="15"/>
        <w:jc w:val="center"/>
        <w:rPr>
          <w:color w:val="000000" w:themeColor="text1"/>
        </w:rPr>
      </w:pPr>
      <w:r w:rsidRPr="00001207">
        <w:rPr>
          <w:color w:val="000000" w:themeColor="text1"/>
        </w:rPr>
        <w:t xml:space="preserve">c. Damages for Injuries to or Removal of Property Attached to Realty </w:t>
      </w:r>
    </w:p>
    <w:p w14:paraId="4125A6BB" w14:textId="77777777" w:rsidR="00001207" w:rsidRPr="00001207" w:rsidRDefault="00001207" w:rsidP="00001207">
      <w:pPr>
        <w:spacing w:after="11" w:line="240" w:lineRule="auto"/>
        <w:ind w:left="15" w:right="5"/>
        <w:jc w:val="center"/>
        <w:rPr>
          <w:color w:val="000000" w:themeColor="text1"/>
        </w:rPr>
      </w:pPr>
      <w:r w:rsidRPr="00001207">
        <w:rPr>
          <w:color w:val="000000" w:themeColor="text1"/>
        </w:rPr>
        <w:t xml:space="preserve">§ 28. Damages for unlawful cutting or removal of trees or shrubbery—Election of statutory or common law remedies </w:t>
      </w:r>
    </w:p>
    <w:p w14:paraId="5C7A37F6" w14:textId="77777777" w:rsidR="00001207" w:rsidRPr="00001207" w:rsidRDefault="00001207" w:rsidP="00001207">
      <w:pPr>
        <w:spacing w:line="240" w:lineRule="auto"/>
        <w:ind w:left="70" w:firstLine="0"/>
        <w:jc w:val="center"/>
        <w:rPr>
          <w:color w:val="000000" w:themeColor="text1"/>
        </w:rPr>
      </w:pPr>
      <w:r w:rsidRPr="00001207">
        <w:rPr>
          <w:color w:val="000000" w:themeColor="text1"/>
        </w:rPr>
        <w:t xml:space="preserve"> </w:t>
      </w:r>
    </w:p>
    <w:p w14:paraId="57C1C503" w14:textId="77777777" w:rsidR="00001207" w:rsidRPr="00001207" w:rsidRDefault="00001207" w:rsidP="00001207">
      <w:pPr>
        <w:spacing w:after="78" w:line="240" w:lineRule="auto"/>
        <w:ind w:left="42" w:firstLine="0"/>
        <w:jc w:val="center"/>
        <w:rPr>
          <w:color w:val="000000" w:themeColor="text1"/>
        </w:rPr>
      </w:pPr>
      <w:r w:rsidRPr="00001207">
        <w:rPr>
          <w:color w:val="000000" w:themeColor="text1"/>
          <w:sz w:val="27"/>
        </w:rPr>
        <w:t>Cases:</w:t>
      </w:r>
      <w:r w:rsidRPr="00001207">
        <w:rPr>
          <w:color w:val="000000" w:themeColor="text1"/>
        </w:rPr>
        <w:t xml:space="preserve"> </w:t>
      </w:r>
    </w:p>
    <w:p w14:paraId="3FAFEC77" w14:textId="77777777" w:rsidR="00001207" w:rsidRPr="00001207" w:rsidRDefault="00001207" w:rsidP="00001207">
      <w:pPr>
        <w:spacing w:line="240" w:lineRule="auto"/>
        <w:ind w:left="-4"/>
        <w:rPr>
          <w:color w:val="000000" w:themeColor="text1"/>
        </w:rPr>
      </w:pPr>
      <w:r w:rsidRPr="00001207">
        <w:rPr>
          <w:color w:val="000000" w:themeColor="text1"/>
        </w:rPr>
        <w:t xml:space="preserve">When one wrongfully enters on the land of another and cuts trees thereon, a landowner has an election of remedies.  </w:t>
      </w:r>
    </w:p>
    <w:p w14:paraId="5B0F6C0B"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79B0C187" w14:textId="77777777" w:rsidR="00001207" w:rsidRPr="00001207" w:rsidRDefault="00001207" w:rsidP="00001207">
      <w:pPr>
        <w:spacing w:line="240" w:lineRule="auto"/>
        <w:ind w:left="-4"/>
        <w:rPr>
          <w:color w:val="000000" w:themeColor="text1"/>
        </w:rPr>
      </w:pPr>
      <w:r w:rsidRPr="00001207">
        <w:rPr>
          <w:color w:val="000000" w:themeColor="text1"/>
        </w:rPr>
        <w:t xml:space="preserve">A plaintiff suing for the unlawful cutting or removal of timber may recover either (1) the difference in the value of the property immediately before and immediately after the cutting, in addition to punitive damages if appropriate under the facts; or (2) the value of the timber itself, which is doubled pursuant to statute, but may not recover both. Thus, a plaintiff claiming the unlawful cutting of timber may not collect both punitive damages under common law and double statutory damages because doing so would amount to double recovery.  </w:t>
      </w:r>
    </w:p>
    <w:p w14:paraId="0CFD4897"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6BD67596" w14:textId="77777777" w:rsidR="00001207" w:rsidRPr="00001207" w:rsidRDefault="00001207" w:rsidP="00001207">
      <w:pPr>
        <w:spacing w:line="240" w:lineRule="auto"/>
        <w:ind w:left="-4"/>
        <w:rPr>
          <w:color w:val="000000" w:themeColor="text1"/>
        </w:rPr>
      </w:pPr>
      <w:r w:rsidRPr="00001207">
        <w:rPr>
          <w:color w:val="000000" w:themeColor="text1"/>
        </w:rPr>
        <w:t xml:space="preserve">If a trespasser who cuts timber is an intentional and knowing wrongdoer, the owner of the land may recover the enhanced value of the timber added to it by the labor of the trespasser, but in such case, the landowner may not recover double value in addition to the enhanced value, as the common law remedy of enhanced value and the statutory remedy of double value are mutually exclusive. </w:t>
      </w:r>
    </w:p>
    <w:p w14:paraId="1D69E631" w14:textId="77777777" w:rsidR="00001207" w:rsidRPr="00001207" w:rsidRDefault="00001207" w:rsidP="00001207">
      <w:pPr>
        <w:spacing w:line="240" w:lineRule="auto"/>
        <w:ind w:left="1" w:firstLine="0"/>
        <w:rPr>
          <w:color w:val="000000" w:themeColor="text1"/>
        </w:rPr>
      </w:pPr>
      <w:r w:rsidRPr="00001207">
        <w:rPr>
          <w:rFonts w:eastAsia="Times New Roman" w:cs="Times New Roman"/>
          <w:color w:val="000000" w:themeColor="text1"/>
        </w:rPr>
        <w:t xml:space="preserve"> </w:t>
      </w:r>
      <w:r w:rsidRPr="00001207">
        <w:rPr>
          <w:rFonts w:eastAsia="Times New Roman" w:cs="Times New Roman"/>
          <w:color w:val="000000" w:themeColor="text1"/>
        </w:rPr>
        <w:tab/>
      </w:r>
      <w:r w:rsidRPr="00001207">
        <w:rPr>
          <w:color w:val="000000" w:themeColor="text1"/>
        </w:rPr>
        <w:t xml:space="preserve"> </w:t>
      </w:r>
    </w:p>
    <w:p w14:paraId="45E9B58C" w14:textId="77777777" w:rsidR="00001207" w:rsidRDefault="00001207" w:rsidP="00001207">
      <w:pPr>
        <w:spacing w:line="240" w:lineRule="auto"/>
        <w:ind w:left="0" w:firstLine="0"/>
        <w:rPr>
          <w:rFonts w:eastAsiaTheme="majorEastAsia" w:cstheme="majorBidi"/>
          <w:color w:val="000000" w:themeColor="text1"/>
          <w:sz w:val="32"/>
          <w:szCs w:val="32"/>
        </w:rPr>
      </w:pPr>
      <w:r>
        <w:rPr>
          <w:color w:val="000000" w:themeColor="text1"/>
        </w:rPr>
        <w:br w:type="page"/>
      </w:r>
    </w:p>
    <w:p w14:paraId="02B0B275" w14:textId="7835E045" w:rsidR="00001207" w:rsidRPr="00001207" w:rsidRDefault="00001207" w:rsidP="00001207">
      <w:pPr>
        <w:pStyle w:val="Heading2"/>
        <w:spacing w:before="0" w:line="240" w:lineRule="auto"/>
        <w:ind w:left="-4"/>
        <w:rPr>
          <w:rFonts w:ascii="Garamond" w:hAnsi="Garamond"/>
          <w:color w:val="000000" w:themeColor="text1"/>
        </w:rPr>
      </w:pPr>
      <w:r w:rsidRPr="00001207">
        <w:rPr>
          <w:rFonts w:ascii="Garamond" w:hAnsi="Garamond"/>
          <w:color w:val="000000" w:themeColor="text1"/>
        </w:rPr>
        <w:lastRenderedPageBreak/>
        <w:t>Authority 3</w:t>
      </w:r>
    </w:p>
    <w:p w14:paraId="4FBADF03"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4F0A4BE2" w14:textId="77777777" w:rsidR="00001207" w:rsidRPr="00001207" w:rsidRDefault="00001207" w:rsidP="00001207">
      <w:pPr>
        <w:spacing w:line="240" w:lineRule="auto"/>
        <w:ind w:left="-4"/>
        <w:rPr>
          <w:color w:val="000000" w:themeColor="text1"/>
        </w:rPr>
      </w:pPr>
      <w:r w:rsidRPr="00001207">
        <w:rPr>
          <w:color w:val="000000" w:themeColor="text1"/>
        </w:rPr>
        <w:t>Authority 3 begins on page 594 of volume 272 of the official print reporter, and it begins on page 41 of volume 700 of the second series of the unofficial, regional reporter (S.E.2d). The authority is also an electronically published opinion with this universal citation: 2021-</w:t>
      </w:r>
    </w:p>
    <w:p w14:paraId="590E0D1E" w14:textId="77777777" w:rsidR="00001207" w:rsidRPr="00001207" w:rsidRDefault="00001207" w:rsidP="00001207">
      <w:pPr>
        <w:spacing w:line="240" w:lineRule="auto"/>
        <w:ind w:left="-4"/>
        <w:rPr>
          <w:color w:val="000000" w:themeColor="text1"/>
        </w:rPr>
      </w:pPr>
      <w:r w:rsidRPr="00001207">
        <w:rPr>
          <w:color w:val="000000" w:themeColor="text1"/>
        </w:rPr>
        <w:t xml:space="preserve">NCCOA-17. </w:t>
      </w:r>
    </w:p>
    <w:p w14:paraId="0B1A26F2"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0554CCBD" w14:textId="77777777" w:rsidR="00001207" w:rsidRPr="00001207" w:rsidRDefault="00001207" w:rsidP="00001207">
      <w:pPr>
        <w:spacing w:line="240" w:lineRule="auto"/>
        <w:ind w:left="18" w:right="5"/>
        <w:jc w:val="center"/>
        <w:rPr>
          <w:color w:val="000000" w:themeColor="text1"/>
        </w:rPr>
      </w:pPr>
      <w:r w:rsidRPr="00001207">
        <w:rPr>
          <w:b/>
          <w:color w:val="000000" w:themeColor="text1"/>
        </w:rPr>
        <w:t xml:space="preserve">Court of Appeals of North Carolina. </w:t>
      </w:r>
    </w:p>
    <w:p w14:paraId="213F1254" w14:textId="77777777" w:rsidR="00001207" w:rsidRPr="00001207" w:rsidRDefault="00001207" w:rsidP="00001207">
      <w:pPr>
        <w:spacing w:line="240" w:lineRule="auto"/>
        <w:ind w:left="18" w:right="8"/>
        <w:jc w:val="center"/>
        <w:rPr>
          <w:color w:val="000000" w:themeColor="text1"/>
        </w:rPr>
      </w:pPr>
      <w:r w:rsidRPr="00001207">
        <w:rPr>
          <w:b/>
          <w:color w:val="000000" w:themeColor="text1"/>
        </w:rPr>
        <w:t xml:space="preserve">Jordan KANG and Leslie LYLES, Plaintiffs, </w:t>
      </w:r>
    </w:p>
    <w:p w14:paraId="0BAEE5AE" w14:textId="77777777" w:rsidR="00001207" w:rsidRPr="00001207" w:rsidRDefault="00001207" w:rsidP="00001207">
      <w:pPr>
        <w:spacing w:line="240" w:lineRule="auto"/>
        <w:ind w:left="18" w:right="2"/>
        <w:jc w:val="center"/>
        <w:rPr>
          <w:color w:val="000000" w:themeColor="text1"/>
        </w:rPr>
      </w:pPr>
      <w:r w:rsidRPr="00001207">
        <w:rPr>
          <w:b/>
          <w:color w:val="000000" w:themeColor="text1"/>
        </w:rPr>
        <w:t xml:space="preserve">v. </w:t>
      </w:r>
    </w:p>
    <w:p w14:paraId="4FADEA6C" w14:textId="77777777" w:rsidR="00001207" w:rsidRPr="00001207" w:rsidRDefault="00001207" w:rsidP="00001207">
      <w:pPr>
        <w:spacing w:line="240" w:lineRule="auto"/>
        <w:ind w:left="18"/>
        <w:jc w:val="center"/>
        <w:rPr>
          <w:color w:val="000000" w:themeColor="text1"/>
        </w:rPr>
      </w:pPr>
      <w:r w:rsidRPr="00001207">
        <w:rPr>
          <w:b/>
          <w:color w:val="000000" w:themeColor="text1"/>
        </w:rPr>
        <w:t xml:space="preserve">NORTH CAROLINA LIGHT AND POWER PARTNERSHIP, Defendant. </w:t>
      </w:r>
    </w:p>
    <w:p w14:paraId="5E072380" w14:textId="77777777" w:rsidR="00001207" w:rsidRPr="00001207" w:rsidRDefault="00001207" w:rsidP="00001207">
      <w:pPr>
        <w:spacing w:line="240" w:lineRule="auto"/>
        <w:ind w:left="18" w:right="5"/>
        <w:jc w:val="center"/>
        <w:rPr>
          <w:color w:val="000000" w:themeColor="text1"/>
        </w:rPr>
      </w:pPr>
      <w:r w:rsidRPr="00001207">
        <w:rPr>
          <w:b/>
          <w:color w:val="000000" w:themeColor="text1"/>
        </w:rPr>
        <w:t xml:space="preserve">Filed February 16, 2021. </w:t>
      </w:r>
    </w:p>
    <w:p w14:paraId="52E9BF6A"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6C611E25" w14:textId="77777777" w:rsidR="00001207" w:rsidRPr="00001207" w:rsidRDefault="00001207" w:rsidP="00001207">
      <w:pPr>
        <w:spacing w:line="240" w:lineRule="auto"/>
        <w:ind w:left="-4"/>
        <w:rPr>
          <w:color w:val="000000" w:themeColor="text1"/>
        </w:rPr>
      </w:pPr>
      <w:r w:rsidRPr="00001207">
        <w:rPr>
          <w:color w:val="000000" w:themeColor="text1"/>
        </w:rPr>
        <w:t xml:space="preserve">¶ 1 </w:t>
      </w:r>
      <w:r w:rsidRPr="00001207">
        <w:rPr>
          <w:b/>
          <w:color w:val="000000" w:themeColor="text1"/>
        </w:rPr>
        <w:t>*595</w:t>
      </w:r>
      <w:r w:rsidRPr="00001207">
        <w:rPr>
          <w:color w:val="000000" w:themeColor="text1"/>
        </w:rPr>
        <w:t xml:space="preserve"> </w:t>
      </w:r>
      <w:r w:rsidRPr="00001207">
        <w:rPr>
          <w:b/>
          <w:color w:val="000000" w:themeColor="text1"/>
        </w:rPr>
        <w:t>**41</w:t>
      </w:r>
      <w:r w:rsidRPr="00001207">
        <w:rPr>
          <w:color w:val="000000" w:themeColor="text1"/>
        </w:rPr>
        <w:t xml:space="preserve"> Plaintiffs Jordan Kang and Leslie Lyles appeal from the trial court’s judgment granting a directed verdict in favor of Defendant North Carolina Light and Power Partnership, and awarding Plaintiffs nominal damages. We reverse the judgment of the trial court because the cost of replacing the ornamental trees was competent evidence of the diminution in value of Plaintiffs’ property, where the property was owned for personal use. Plaintiffs are entitled to a new trial. </w:t>
      </w:r>
    </w:p>
    <w:p w14:paraId="64CE6D12"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5E3B4080" w14:textId="77777777" w:rsidR="00001207" w:rsidRPr="00001207" w:rsidRDefault="00001207" w:rsidP="00001207">
      <w:pPr>
        <w:spacing w:line="240" w:lineRule="auto"/>
        <w:ind w:left="-4"/>
        <w:rPr>
          <w:color w:val="000000" w:themeColor="text1"/>
        </w:rPr>
      </w:pPr>
      <w:r w:rsidRPr="00001207">
        <w:rPr>
          <w:color w:val="000000" w:themeColor="text1"/>
        </w:rPr>
        <w:t xml:space="preserve">¶ 2 Plaintiffs live in Lewisville, North Carolina, where they own real property on which several mature Japanese Maple trees once stood. Plaintiffs purchased the property in March 2013 and planned to raise a family there and, one day, retire. </w:t>
      </w:r>
    </w:p>
    <w:p w14:paraId="22265D19"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34CE3F74" w14:textId="77777777" w:rsidR="00001207" w:rsidRPr="00001207" w:rsidRDefault="00001207" w:rsidP="00001207">
      <w:pPr>
        <w:spacing w:line="240" w:lineRule="auto"/>
        <w:ind w:left="-4"/>
        <w:rPr>
          <w:color w:val="000000" w:themeColor="text1"/>
        </w:rPr>
      </w:pPr>
      <w:r w:rsidRPr="00001207">
        <w:rPr>
          <w:color w:val="000000" w:themeColor="text1"/>
        </w:rPr>
        <w:t>¶ 3 On 4 August 2016, North Carolina Light and Power removed two mature Japanese Maple trees from the property and severely damaged a third</w:t>
      </w:r>
      <w:proofErr w:type="gramStart"/>
      <w:r w:rsidRPr="00001207">
        <w:rPr>
          <w:color w:val="000000" w:themeColor="text1"/>
        </w:rPr>
        <w:t>. . . .</w:t>
      </w:r>
      <w:proofErr w:type="gramEnd"/>
      <w:r w:rsidRPr="00001207">
        <w:rPr>
          <w:color w:val="000000" w:themeColor="text1"/>
        </w:rPr>
        <w:t xml:space="preserve"> </w:t>
      </w:r>
    </w:p>
    <w:p w14:paraId="676527E5" w14:textId="77777777" w:rsidR="00001207" w:rsidRPr="00001207" w:rsidRDefault="00001207" w:rsidP="00001207">
      <w:pPr>
        <w:spacing w:after="11" w:line="240" w:lineRule="auto"/>
        <w:ind w:left="15" w:right="1"/>
        <w:jc w:val="center"/>
        <w:rPr>
          <w:color w:val="000000" w:themeColor="text1"/>
        </w:rPr>
      </w:pPr>
      <w:r w:rsidRPr="00001207">
        <w:rPr>
          <w:color w:val="000000" w:themeColor="text1"/>
        </w:rPr>
        <w:t xml:space="preserve">. . . </w:t>
      </w:r>
    </w:p>
    <w:p w14:paraId="2EB86578" w14:textId="77777777" w:rsidR="00001207" w:rsidRPr="00001207" w:rsidRDefault="00001207" w:rsidP="00001207">
      <w:pPr>
        <w:spacing w:line="240" w:lineRule="auto"/>
        <w:ind w:left="-4"/>
        <w:rPr>
          <w:color w:val="000000" w:themeColor="text1"/>
        </w:rPr>
      </w:pPr>
      <w:r w:rsidRPr="00001207">
        <w:rPr>
          <w:color w:val="000000" w:themeColor="text1"/>
        </w:rPr>
        <w:t xml:space="preserve">¶ 7 There are two different </w:t>
      </w:r>
      <w:r w:rsidRPr="00001207">
        <w:rPr>
          <w:b/>
          <w:color w:val="000000" w:themeColor="text1"/>
        </w:rPr>
        <w:t>*596</w:t>
      </w:r>
      <w:r w:rsidRPr="00001207">
        <w:rPr>
          <w:color w:val="000000" w:themeColor="text1"/>
        </w:rPr>
        <w:t xml:space="preserve"> but similar measures of damages for the tort of trespass to timber: the value of the timber once it has been cut from the stump and the difference in the value of land before and after cutting.  </w:t>
      </w:r>
    </w:p>
    <w:p w14:paraId="731967EF" w14:textId="77777777" w:rsidR="00001207" w:rsidRPr="00001207" w:rsidRDefault="00001207" w:rsidP="00001207">
      <w:pPr>
        <w:spacing w:after="93" w:line="240" w:lineRule="auto"/>
        <w:ind w:left="1" w:firstLine="0"/>
        <w:rPr>
          <w:color w:val="000000" w:themeColor="text1"/>
        </w:rPr>
      </w:pPr>
      <w:r w:rsidRPr="00001207">
        <w:rPr>
          <w:color w:val="000000" w:themeColor="text1"/>
        </w:rPr>
        <w:t xml:space="preserve"> </w:t>
      </w:r>
    </w:p>
    <w:p w14:paraId="30B536A2" w14:textId="77777777" w:rsidR="00001207" w:rsidRPr="00001207" w:rsidRDefault="00001207" w:rsidP="00001207">
      <w:pPr>
        <w:spacing w:line="240" w:lineRule="auto"/>
        <w:ind w:left="-4"/>
        <w:rPr>
          <w:color w:val="000000" w:themeColor="text1"/>
        </w:rPr>
      </w:pPr>
      <w:r w:rsidRPr="00001207">
        <w:rPr>
          <w:color w:val="000000" w:themeColor="text1"/>
        </w:rPr>
        <w:t xml:space="preserve">¶ 8 Section 1-539.1 of our general statutes provide a statutory cause of action for trespass to timber. The statute authorizes awards of enhanced damages. But, as a practical matter, for trees without commercial value after they are cut, enhanced statutory damages are unavailable. </w:t>
      </w:r>
    </w:p>
    <w:p w14:paraId="32FDB39A"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49DFF11D" w14:textId="77777777" w:rsidR="00001207" w:rsidRPr="00001207" w:rsidRDefault="00001207" w:rsidP="00001207">
      <w:pPr>
        <w:spacing w:line="240" w:lineRule="auto"/>
        <w:ind w:left="-4"/>
        <w:rPr>
          <w:color w:val="000000" w:themeColor="text1"/>
        </w:rPr>
      </w:pPr>
      <w:r w:rsidRPr="00001207">
        <w:rPr>
          <w:color w:val="000000" w:themeColor="text1"/>
        </w:rPr>
        <w:t xml:space="preserve">¶ 9 </w:t>
      </w:r>
      <w:r w:rsidRPr="00001207">
        <w:rPr>
          <w:b/>
          <w:color w:val="000000" w:themeColor="text1"/>
        </w:rPr>
        <w:t>**42</w:t>
      </w:r>
      <w:r w:rsidRPr="00001207">
        <w:rPr>
          <w:color w:val="000000" w:themeColor="text1"/>
        </w:rPr>
        <w:t xml:space="preserve"> This Court has held that, where property is owned for personal use, the replacement cost of trees can be used to establish the loss in value of real property from which they are removed. Landowners injured by a trespass to ornamental trees on their property are entitled to recover the difference in the value of the land before and after cutting. Landowners can show the extent of the loss in value of their property by presenting evidence of the cost of reasonable remedial measures, such as replacement or restoration. </w:t>
      </w:r>
    </w:p>
    <w:p w14:paraId="2F31BB08" w14:textId="77777777" w:rsidR="00001207" w:rsidRPr="00001207" w:rsidRDefault="00001207" w:rsidP="00001207">
      <w:pPr>
        <w:spacing w:line="240" w:lineRule="auto"/>
        <w:ind w:left="1" w:firstLine="0"/>
        <w:rPr>
          <w:color w:val="000000" w:themeColor="text1"/>
        </w:rPr>
      </w:pPr>
      <w:r w:rsidRPr="00001207">
        <w:rPr>
          <w:rFonts w:eastAsia="Times New Roman" w:cs="Times New Roman"/>
          <w:color w:val="000000" w:themeColor="text1"/>
        </w:rPr>
        <w:lastRenderedPageBreak/>
        <w:t xml:space="preserve"> </w:t>
      </w:r>
      <w:r w:rsidRPr="00001207">
        <w:rPr>
          <w:rFonts w:eastAsia="Times New Roman" w:cs="Times New Roman"/>
          <w:color w:val="000000" w:themeColor="text1"/>
        </w:rPr>
        <w:tab/>
      </w:r>
      <w:r w:rsidRPr="00001207">
        <w:rPr>
          <w:color w:val="000000" w:themeColor="text1"/>
        </w:rPr>
        <w:t xml:space="preserve"> </w:t>
      </w:r>
    </w:p>
    <w:p w14:paraId="21E0DF0D" w14:textId="77777777" w:rsidR="00001207" w:rsidRPr="00001207" w:rsidRDefault="00001207" w:rsidP="00001207">
      <w:pPr>
        <w:pStyle w:val="Heading2"/>
        <w:spacing w:before="0" w:line="240" w:lineRule="auto"/>
        <w:ind w:left="-4"/>
        <w:rPr>
          <w:rFonts w:ascii="Garamond" w:hAnsi="Garamond"/>
          <w:color w:val="000000" w:themeColor="text1"/>
        </w:rPr>
      </w:pPr>
      <w:r w:rsidRPr="00001207">
        <w:rPr>
          <w:rFonts w:ascii="Garamond" w:hAnsi="Garamond"/>
          <w:color w:val="000000" w:themeColor="text1"/>
        </w:rPr>
        <w:t>Authority 4</w:t>
      </w:r>
    </w:p>
    <w:p w14:paraId="4AD9B197"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1C7ECCB8" w14:textId="77777777" w:rsidR="00001207" w:rsidRPr="00001207" w:rsidRDefault="00001207" w:rsidP="00001207">
      <w:pPr>
        <w:spacing w:line="240" w:lineRule="auto"/>
        <w:ind w:left="-4"/>
        <w:rPr>
          <w:color w:val="000000" w:themeColor="text1"/>
        </w:rPr>
      </w:pPr>
      <w:r w:rsidRPr="00001207">
        <w:rPr>
          <w:color w:val="000000" w:themeColor="text1"/>
        </w:rPr>
        <w:t xml:space="preserve">Authority 4 begins on page 416 of volume 132 of the official state reporter, and it begins on page 458 of volume 512 of the second series of the unofficial, regional reporter (S.E.2d). </w:t>
      </w:r>
    </w:p>
    <w:p w14:paraId="478060AC"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2309784F" w14:textId="77777777" w:rsidR="00001207" w:rsidRPr="00001207" w:rsidRDefault="00001207" w:rsidP="00001207">
      <w:pPr>
        <w:spacing w:line="240" w:lineRule="auto"/>
        <w:ind w:left="18" w:right="7"/>
        <w:jc w:val="center"/>
        <w:rPr>
          <w:color w:val="000000" w:themeColor="text1"/>
        </w:rPr>
      </w:pPr>
      <w:r w:rsidRPr="00001207">
        <w:rPr>
          <w:b/>
          <w:color w:val="000000" w:themeColor="text1"/>
        </w:rPr>
        <w:t xml:space="preserve">Supreme Court of North Carolina. </w:t>
      </w:r>
    </w:p>
    <w:p w14:paraId="3D592FAA" w14:textId="77777777" w:rsidR="00001207" w:rsidRPr="00001207" w:rsidRDefault="00001207" w:rsidP="00001207">
      <w:pPr>
        <w:spacing w:line="240" w:lineRule="auto"/>
        <w:ind w:left="18" w:right="8"/>
        <w:jc w:val="center"/>
        <w:rPr>
          <w:color w:val="000000" w:themeColor="text1"/>
        </w:rPr>
      </w:pPr>
      <w:r w:rsidRPr="00001207">
        <w:rPr>
          <w:b/>
          <w:color w:val="000000" w:themeColor="text1"/>
        </w:rPr>
        <w:t xml:space="preserve">Diane B. GENESEO, Plaintiff, </w:t>
      </w:r>
    </w:p>
    <w:p w14:paraId="218652BE" w14:textId="77777777" w:rsidR="00001207" w:rsidRPr="00001207" w:rsidRDefault="00001207" w:rsidP="00001207">
      <w:pPr>
        <w:spacing w:line="240" w:lineRule="auto"/>
        <w:ind w:left="18" w:right="3"/>
        <w:jc w:val="center"/>
        <w:rPr>
          <w:color w:val="000000" w:themeColor="text1"/>
        </w:rPr>
      </w:pPr>
      <w:r w:rsidRPr="00001207">
        <w:rPr>
          <w:b/>
          <w:color w:val="000000" w:themeColor="text1"/>
        </w:rPr>
        <w:t xml:space="preserve">v. </w:t>
      </w:r>
    </w:p>
    <w:p w14:paraId="39210F87" w14:textId="77777777" w:rsidR="00001207" w:rsidRPr="00001207" w:rsidRDefault="00001207" w:rsidP="00001207">
      <w:pPr>
        <w:spacing w:line="240" w:lineRule="auto"/>
        <w:ind w:left="18" w:right="6"/>
        <w:jc w:val="center"/>
        <w:rPr>
          <w:color w:val="000000" w:themeColor="text1"/>
        </w:rPr>
      </w:pPr>
      <w:r w:rsidRPr="00001207">
        <w:rPr>
          <w:b/>
          <w:color w:val="000000" w:themeColor="text1"/>
        </w:rPr>
        <w:t xml:space="preserve">Robert BOOKMAN, d/b/a BOBBY BOOKMAN TIMBER &amp; LOGGING, </w:t>
      </w:r>
    </w:p>
    <w:p w14:paraId="445D72FA" w14:textId="77777777" w:rsidR="00001207" w:rsidRPr="00001207" w:rsidRDefault="00001207" w:rsidP="00001207">
      <w:pPr>
        <w:spacing w:line="240" w:lineRule="auto"/>
        <w:ind w:left="18" w:right="2"/>
        <w:jc w:val="center"/>
        <w:rPr>
          <w:color w:val="000000" w:themeColor="text1"/>
        </w:rPr>
      </w:pPr>
      <w:r w:rsidRPr="00001207">
        <w:rPr>
          <w:b/>
          <w:color w:val="000000" w:themeColor="text1"/>
        </w:rPr>
        <w:t xml:space="preserve">Defendant, </w:t>
      </w:r>
    </w:p>
    <w:p w14:paraId="5010BEDB" w14:textId="77777777" w:rsidR="00001207" w:rsidRPr="00001207" w:rsidRDefault="00001207" w:rsidP="00001207">
      <w:pPr>
        <w:spacing w:line="240" w:lineRule="auto"/>
        <w:ind w:left="18" w:right="6"/>
        <w:jc w:val="center"/>
        <w:rPr>
          <w:color w:val="000000" w:themeColor="text1"/>
        </w:rPr>
      </w:pPr>
      <w:r w:rsidRPr="00001207">
        <w:rPr>
          <w:b/>
          <w:color w:val="000000" w:themeColor="text1"/>
        </w:rPr>
        <w:t xml:space="preserve">No. 023SC1411. </w:t>
      </w:r>
    </w:p>
    <w:p w14:paraId="2D76AFD3" w14:textId="77777777" w:rsidR="00001207" w:rsidRPr="00001207" w:rsidRDefault="00001207" w:rsidP="00001207">
      <w:pPr>
        <w:spacing w:line="240" w:lineRule="auto"/>
        <w:ind w:left="18" w:right="4"/>
        <w:jc w:val="center"/>
        <w:rPr>
          <w:color w:val="000000" w:themeColor="text1"/>
        </w:rPr>
      </w:pPr>
      <w:r w:rsidRPr="00001207">
        <w:rPr>
          <w:b/>
          <w:color w:val="000000" w:themeColor="text1"/>
        </w:rPr>
        <w:t xml:space="preserve">March 2, 1999. </w:t>
      </w:r>
    </w:p>
    <w:p w14:paraId="3D440A71" w14:textId="77777777" w:rsidR="00001207" w:rsidRPr="00001207" w:rsidRDefault="00001207" w:rsidP="00001207">
      <w:pPr>
        <w:spacing w:line="240" w:lineRule="auto"/>
        <w:ind w:left="0" w:firstLine="0"/>
        <w:rPr>
          <w:color w:val="000000" w:themeColor="text1"/>
        </w:rPr>
      </w:pPr>
      <w:r w:rsidRPr="00001207">
        <w:rPr>
          <w:color w:val="000000" w:themeColor="text1"/>
        </w:rPr>
        <w:t xml:space="preserve"> </w:t>
      </w:r>
    </w:p>
    <w:p w14:paraId="76517441" w14:textId="77777777" w:rsidR="00001207" w:rsidRPr="00001207" w:rsidRDefault="00001207" w:rsidP="00001207">
      <w:pPr>
        <w:spacing w:line="240" w:lineRule="auto"/>
        <w:ind w:left="-4"/>
        <w:rPr>
          <w:color w:val="000000" w:themeColor="text1"/>
        </w:rPr>
      </w:pPr>
      <w:r w:rsidRPr="00001207">
        <w:rPr>
          <w:color w:val="000000" w:themeColor="text1"/>
        </w:rPr>
        <w:t xml:space="preserve">. . . </w:t>
      </w:r>
      <w:r w:rsidRPr="00001207">
        <w:rPr>
          <w:b/>
          <w:color w:val="000000" w:themeColor="text1"/>
        </w:rPr>
        <w:t>*424 **460</w:t>
      </w:r>
      <w:r w:rsidRPr="00001207">
        <w:rPr>
          <w:color w:val="000000" w:themeColor="text1"/>
        </w:rPr>
        <w:t xml:space="preserve"> Two alternative measures of damages are available in a suit claiming unlawful cutting of timber: (1) the difference in the value of the property immediately before and immediately after the cutting and (2) the value of the timber itself. This latter value is then doubled by reason of statute, which allows landowners to recover double the value of timber cut or removed. </w:t>
      </w:r>
    </w:p>
    <w:p w14:paraId="2DE5CE56" w14:textId="77777777" w:rsidR="00001207" w:rsidRPr="00001207" w:rsidRDefault="00001207" w:rsidP="00001207">
      <w:pPr>
        <w:spacing w:line="240" w:lineRule="auto"/>
        <w:ind w:left="0" w:firstLine="0"/>
        <w:rPr>
          <w:color w:val="000000" w:themeColor="text1"/>
        </w:rPr>
      </w:pPr>
      <w:r w:rsidRPr="00001207">
        <w:rPr>
          <w:color w:val="000000" w:themeColor="text1"/>
        </w:rPr>
        <w:t xml:space="preserve"> </w:t>
      </w:r>
    </w:p>
    <w:p w14:paraId="6429824C" w14:textId="77777777" w:rsidR="00001207" w:rsidRPr="00001207" w:rsidRDefault="00001207" w:rsidP="00001207">
      <w:pPr>
        <w:spacing w:line="240" w:lineRule="auto"/>
        <w:ind w:left="-4"/>
        <w:rPr>
          <w:color w:val="000000" w:themeColor="text1"/>
        </w:rPr>
      </w:pPr>
      <w:r w:rsidRPr="00001207">
        <w:rPr>
          <w:color w:val="000000" w:themeColor="text1"/>
        </w:rPr>
        <w:t xml:space="preserve">These two measures of damages are true alternatives, though. One may not recover both statutory damages and damages for the property’s loss in value. Rather, a party must choose between the two options by proceeding upon one or the other theory at trial. </w:t>
      </w:r>
      <w:r w:rsidRPr="00001207">
        <w:rPr>
          <w:b/>
          <w:color w:val="000000" w:themeColor="text1"/>
        </w:rPr>
        <w:t>*425</w:t>
      </w:r>
      <w:r w:rsidRPr="00001207">
        <w:rPr>
          <w:color w:val="000000" w:themeColor="text1"/>
        </w:rPr>
        <w:t xml:space="preserve"> As a matter of strategy, plaintiffs generally prefer to prove the value of the timber itself because that measure of damages generates a larger amount for plaintiffs. </w:t>
      </w:r>
    </w:p>
    <w:p w14:paraId="27787B46" w14:textId="77777777" w:rsidR="00001207" w:rsidRPr="00001207" w:rsidRDefault="00001207" w:rsidP="00001207">
      <w:pPr>
        <w:spacing w:line="240" w:lineRule="auto"/>
        <w:ind w:left="1" w:firstLine="0"/>
        <w:rPr>
          <w:color w:val="000000" w:themeColor="text1"/>
        </w:rPr>
      </w:pPr>
      <w:r w:rsidRPr="00001207">
        <w:rPr>
          <w:rFonts w:eastAsia="Arial" w:cs="Arial"/>
          <w:color w:val="000000" w:themeColor="text1"/>
          <w:sz w:val="24"/>
        </w:rPr>
        <w:t xml:space="preserve"> </w:t>
      </w:r>
      <w:r w:rsidRPr="00001207">
        <w:rPr>
          <w:rFonts w:eastAsia="Arial" w:cs="Arial"/>
          <w:color w:val="000000" w:themeColor="text1"/>
          <w:sz w:val="24"/>
        </w:rPr>
        <w:tab/>
      </w:r>
      <w:r w:rsidRPr="00001207">
        <w:rPr>
          <w:rFonts w:eastAsia="Source Sans Pro" w:cs="Source Sans Pro"/>
          <w:color w:val="000000" w:themeColor="text1"/>
          <w:sz w:val="24"/>
        </w:rPr>
        <w:t xml:space="preserve"> </w:t>
      </w:r>
    </w:p>
    <w:p w14:paraId="541DE1DA" w14:textId="77777777" w:rsidR="00001207" w:rsidRPr="00001207" w:rsidRDefault="00001207" w:rsidP="00001207">
      <w:pPr>
        <w:spacing w:line="240" w:lineRule="auto"/>
        <w:rPr>
          <w:color w:val="000000" w:themeColor="text1"/>
        </w:rPr>
        <w:sectPr w:rsidR="00001207" w:rsidRPr="00001207" w:rsidSect="00001207">
          <w:footerReference w:type="even" r:id="rId5"/>
          <w:footerReference w:type="default" r:id="rId6"/>
          <w:footerReference w:type="first" r:id="rId7"/>
          <w:pgSz w:w="12240" w:h="15840"/>
          <w:pgMar w:top="1438" w:right="1444" w:bottom="1628" w:left="1439" w:header="720" w:footer="456" w:gutter="0"/>
          <w:pgNumType w:start="10"/>
          <w:cols w:space="720"/>
        </w:sectPr>
      </w:pPr>
    </w:p>
    <w:p w14:paraId="196E5598" w14:textId="77777777" w:rsidR="00001207" w:rsidRPr="00001207" w:rsidRDefault="00001207" w:rsidP="00001207">
      <w:pPr>
        <w:pStyle w:val="Heading2"/>
        <w:spacing w:before="0" w:after="246" w:line="240" w:lineRule="auto"/>
        <w:ind w:left="-4"/>
        <w:rPr>
          <w:rFonts w:ascii="Garamond" w:hAnsi="Garamond"/>
          <w:color w:val="000000" w:themeColor="text1"/>
        </w:rPr>
      </w:pPr>
      <w:r w:rsidRPr="00001207">
        <w:rPr>
          <w:rFonts w:ascii="Garamond" w:eastAsia="Garamond" w:hAnsi="Garamond" w:cs="Garamond"/>
          <w:color w:val="000000" w:themeColor="text1"/>
        </w:rPr>
        <w:lastRenderedPageBreak/>
        <w:t xml:space="preserve">Authority 5 </w:t>
      </w:r>
    </w:p>
    <w:p w14:paraId="38D66330" w14:textId="77777777" w:rsidR="00001207" w:rsidRPr="00001207" w:rsidRDefault="00001207" w:rsidP="00001207">
      <w:pPr>
        <w:spacing w:after="293" w:line="240" w:lineRule="auto"/>
        <w:ind w:left="-5" w:hanging="9"/>
        <w:rPr>
          <w:color w:val="000000" w:themeColor="text1"/>
        </w:rPr>
      </w:pPr>
      <w:r w:rsidRPr="00001207">
        <w:rPr>
          <w:color w:val="000000" w:themeColor="text1"/>
        </w:rPr>
        <w:t xml:space="preserve">Authority 5 begins on page 145 of volume 89 of the official state reporter, and it begins on page 176 of volume 365 of the of the second series of the unofficial, regional reporter (S.E.2d). </w:t>
      </w:r>
    </w:p>
    <w:p w14:paraId="13A80068" w14:textId="77777777" w:rsidR="00001207" w:rsidRPr="00001207" w:rsidRDefault="00001207" w:rsidP="00001207">
      <w:pPr>
        <w:spacing w:after="12" w:line="240" w:lineRule="auto"/>
        <w:ind w:left="14" w:right="3"/>
        <w:jc w:val="center"/>
        <w:rPr>
          <w:color w:val="000000" w:themeColor="text1"/>
        </w:rPr>
      </w:pPr>
      <w:r w:rsidRPr="00001207">
        <w:rPr>
          <w:b/>
          <w:color w:val="000000" w:themeColor="text1"/>
        </w:rPr>
        <w:t xml:space="preserve">Court of Appeals of North Carolina. </w:t>
      </w:r>
    </w:p>
    <w:p w14:paraId="2F2452B3" w14:textId="77777777" w:rsidR="00001207" w:rsidRPr="00001207" w:rsidRDefault="00001207" w:rsidP="00001207">
      <w:pPr>
        <w:spacing w:after="12" w:line="240" w:lineRule="auto"/>
        <w:ind w:left="14" w:right="3"/>
        <w:jc w:val="center"/>
        <w:rPr>
          <w:color w:val="000000" w:themeColor="text1"/>
        </w:rPr>
      </w:pPr>
      <w:r w:rsidRPr="00001207">
        <w:rPr>
          <w:b/>
          <w:color w:val="000000" w:themeColor="text1"/>
        </w:rPr>
        <w:t xml:space="preserve">Harper CAVOLINI </w:t>
      </w:r>
    </w:p>
    <w:p w14:paraId="1F856A5B" w14:textId="77777777" w:rsidR="00001207" w:rsidRPr="00001207" w:rsidRDefault="00001207" w:rsidP="00001207">
      <w:pPr>
        <w:spacing w:after="12" w:line="240" w:lineRule="auto"/>
        <w:ind w:left="14"/>
        <w:jc w:val="center"/>
        <w:rPr>
          <w:color w:val="000000" w:themeColor="text1"/>
        </w:rPr>
      </w:pPr>
      <w:r w:rsidRPr="00001207">
        <w:rPr>
          <w:b/>
          <w:color w:val="000000" w:themeColor="text1"/>
        </w:rPr>
        <w:t xml:space="preserve">v. </w:t>
      </w:r>
    </w:p>
    <w:p w14:paraId="5C4DE9EB" w14:textId="77777777" w:rsidR="00001207" w:rsidRPr="00001207" w:rsidRDefault="00001207" w:rsidP="00001207">
      <w:pPr>
        <w:spacing w:after="12" w:line="240" w:lineRule="auto"/>
        <w:ind w:left="14" w:right="3"/>
        <w:jc w:val="center"/>
        <w:rPr>
          <w:color w:val="000000" w:themeColor="text1"/>
        </w:rPr>
      </w:pPr>
      <w:r w:rsidRPr="00001207">
        <w:rPr>
          <w:b/>
          <w:color w:val="000000" w:themeColor="text1"/>
        </w:rPr>
        <w:t xml:space="preserve">Billy SUKHUMVIT et al. </w:t>
      </w:r>
    </w:p>
    <w:p w14:paraId="3413B370" w14:textId="77777777" w:rsidR="00001207" w:rsidRPr="00001207" w:rsidRDefault="00001207" w:rsidP="00001207">
      <w:pPr>
        <w:spacing w:after="12" w:line="240" w:lineRule="auto"/>
        <w:ind w:left="14" w:right="3"/>
        <w:jc w:val="center"/>
        <w:rPr>
          <w:color w:val="000000" w:themeColor="text1"/>
        </w:rPr>
      </w:pPr>
      <w:r w:rsidRPr="00001207">
        <w:rPr>
          <w:b/>
          <w:color w:val="000000" w:themeColor="text1"/>
        </w:rPr>
        <w:t xml:space="preserve">No. 87-769. </w:t>
      </w:r>
    </w:p>
    <w:p w14:paraId="72D7AC12" w14:textId="77777777" w:rsidR="00001207" w:rsidRPr="00001207" w:rsidRDefault="00001207" w:rsidP="00001207">
      <w:pPr>
        <w:spacing w:after="280" w:line="240" w:lineRule="auto"/>
        <w:ind w:left="14"/>
        <w:jc w:val="center"/>
        <w:rPr>
          <w:color w:val="000000" w:themeColor="text1"/>
        </w:rPr>
      </w:pPr>
      <w:r w:rsidRPr="00001207">
        <w:rPr>
          <w:b/>
          <w:color w:val="000000" w:themeColor="text1"/>
        </w:rPr>
        <w:t xml:space="preserve">March 1, 1988. </w:t>
      </w:r>
    </w:p>
    <w:p w14:paraId="56F12D51" w14:textId="77777777" w:rsidR="00001207" w:rsidRPr="00001207" w:rsidRDefault="00001207" w:rsidP="00001207">
      <w:pPr>
        <w:spacing w:after="293" w:line="240" w:lineRule="auto"/>
        <w:ind w:left="-5" w:hanging="9"/>
        <w:rPr>
          <w:color w:val="000000" w:themeColor="text1"/>
        </w:rPr>
      </w:pPr>
      <w:r w:rsidRPr="00001207">
        <w:rPr>
          <w:b/>
          <w:color w:val="000000" w:themeColor="text1"/>
        </w:rPr>
        <w:t xml:space="preserve">*146 **177 </w:t>
      </w:r>
      <w:r w:rsidRPr="00001207">
        <w:rPr>
          <w:color w:val="000000" w:themeColor="text1"/>
        </w:rPr>
        <w:t xml:space="preserve">. . . Here the plaintiff elected the diminished value measure, calculated by the difference in market value before and after the cutting of the trees at issue. Defendants contend that the trial court erred by instructing the jurors that they could consider certain factors in determining the diminished value of plaintiff’s property. </w:t>
      </w:r>
      <w:r w:rsidRPr="00001207">
        <w:rPr>
          <w:b/>
          <w:color w:val="000000" w:themeColor="text1"/>
        </w:rPr>
        <w:t>*147</w:t>
      </w:r>
      <w:r w:rsidRPr="00001207">
        <w:rPr>
          <w:color w:val="000000" w:themeColor="text1"/>
        </w:rPr>
        <w:t xml:space="preserve"> We disagree.</w:t>
      </w:r>
    </w:p>
    <w:p w14:paraId="7D646326" w14:textId="77777777" w:rsidR="00001207" w:rsidRPr="00001207" w:rsidRDefault="00001207" w:rsidP="00001207">
      <w:pPr>
        <w:spacing w:after="7198" w:line="240" w:lineRule="auto"/>
        <w:ind w:left="-5" w:hanging="9"/>
        <w:rPr>
          <w:color w:val="000000" w:themeColor="text1"/>
        </w:rPr>
      </w:pPr>
      <w:r w:rsidRPr="00001207">
        <w:rPr>
          <w:b/>
          <w:color w:val="000000" w:themeColor="text1"/>
        </w:rPr>
        <w:t>**178</w:t>
      </w:r>
      <w:r w:rsidRPr="00001207">
        <w:rPr>
          <w:color w:val="000000" w:themeColor="text1"/>
        </w:rPr>
        <w:t xml:space="preserve"> The defendants argue that the trial court should not have allowed the jury to consider the aesthetic purpose for which the ornamental trees were grown and maintained. The defendants are wrong because, as a matter of law, the aesthetic value of the trees directly affects the market value of this property.  </w:t>
      </w:r>
    </w:p>
    <w:p w14:paraId="2557A176" w14:textId="77777777" w:rsidR="00001207" w:rsidRPr="00001207" w:rsidRDefault="00001207" w:rsidP="00001207">
      <w:pPr>
        <w:pStyle w:val="Heading2"/>
        <w:spacing w:before="0" w:line="240" w:lineRule="auto"/>
        <w:ind w:left="-4"/>
        <w:rPr>
          <w:rFonts w:ascii="Garamond" w:hAnsi="Garamond"/>
          <w:color w:val="000000" w:themeColor="text1"/>
        </w:rPr>
      </w:pPr>
      <w:r w:rsidRPr="00001207">
        <w:rPr>
          <w:rFonts w:ascii="Garamond" w:eastAsia="Garamond" w:hAnsi="Garamond" w:cs="Garamond"/>
          <w:color w:val="000000" w:themeColor="text1"/>
        </w:rPr>
        <w:lastRenderedPageBreak/>
        <w:t xml:space="preserve">Authority 6 </w:t>
      </w:r>
    </w:p>
    <w:p w14:paraId="2DD9EDCE"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1C84CBAF" w14:textId="77777777" w:rsidR="00001207" w:rsidRPr="00001207" w:rsidRDefault="00001207" w:rsidP="00001207">
      <w:pPr>
        <w:spacing w:line="240" w:lineRule="auto"/>
        <w:ind w:left="-5" w:hanging="9"/>
        <w:rPr>
          <w:color w:val="000000" w:themeColor="text1"/>
        </w:rPr>
      </w:pPr>
      <w:r w:rsidRPr="00001207">
        <w:rPr>
          <w:color w:val="000000" w:themeColor="text1"/>
        </w:rPr>
        <w:t xml:space="preserve">Authority 6 begins on page 609 of volume 236 of the second series of the regional reporter (N.W.2d). </w:t>
      </w:r>
    </w:p>
    <w:p w14:paraId="2D86B5DE"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23FBCF74" w14:textId="77777777" w:rsidR="00001207" w:rsidRPr="00001207" w:rsidRDefault="00001207" w:rsidP="00001207">
      <w:pPr>
        <w:spacing w:after="12" w:line="240" w:lineRule="auto"/>
        <w:ind w:left="14" w:right="1"/>
        <w:jc w:val="center"/>
        <w:rPr>
          <w:color w:val="000000" w:themeColor="text1"/>
        </w:rPr>
      </w:pPr>
      <w:r w:rsidRPr="00001207">
        <w:rPr>
          <w:b/>
          <w:color w:val="000000" w:themeColor="text1"/>
        </w:rPr>
        <w:t xml:space="preserve">Supreme Court of Minnesota. </w:t>
      </w:r>
    </w:p>
    <w:p w14:paraId="0E526BC3" w14:textId="77777777" w:rsidR="00001207" w:rsidRPr="00001207" w:rsidRDefault="00001207" w:rsidP="00001207">
      <w:pPr>
        <w:spacing w:after="12" w:line="240" w:lineRule="auto"/>
        <w:ind w:left="14" w:right="4"/>
        <w:jc w:val="center"/>
        <w:rPr>
          <w:color w:val="000000" w:themeColor="text1"/>
        </w:rPr>
      </w:pPr>
      <w:r w:rsidRPr="00001207">
        <w:rPr>
          <w:b/>
          <w:color w:val="000000" w:themeColor="text1"/>
        </w:rPr>
        <w:t xml:space="preserve">THE NORTHERN MARITIME MUSEUM and THE PRESERVATION ASSOCIATION OF MINNESOTA, Appellants, </w:t>
      </w:r>
    </w:p>
    <w:p w14:paraId="0AFCCA6C" w14:textId="77777777" w:rsidR="00001207" w:rsidRPr="00001207" w:rsidRDefault="00001207" w:rsidP="00001207">
      <w:pPr>
        <w:spacing w:after="12" w:line="240" w:lineRule="auto"/>
        <w:ind w:left="14"/>
        <w:jc w:val="center"/>
        <w:rPr>
          <w:color w:val="000000" w:themeColor="text1"/>
        </w:rPr>
      </w:pPr>
      <w:r w:rsidRPr="00001207">
        <w:rPr>
          <w:b/>
          <w:color w:val="000000" w:themeColor="text1"/>
        </w:rPr>
        <w:t xml:space="preserve">v. </w:t>
      </w:r>
    </w:p>
    <w:p w14:paraId="1EEE35A7" w14:textId="77777777" w:rsidR="00001207" w:rsidRPr="00001207" w:rsidRDefault="00001207" w:rsidP="00001207">
      <w:pPr>
        <w:spacing w:after="12" w:line="240" w:lineRule="auto"/>
        <w:ind w:left="14"/>
        <w:jc w:val="center"/>
        <w:rPr>
          <w:color w:val="000000" w:themeColor="text1"/>
        </w:rPr>
      </w:pPr>
      <w:r w:rsidRPr="00001207">
        <w:rPr>
          <w:b/>
          <w:color w:val="000000" w:themeColor="text1"/>
        </w:rPr>
        <w:t xml:space="preserve">C.S. CROSSAN, INCORPORATED, Appellee. </w:t>
      </w:r>
    </w:p>
    <w:p w14:paraId="338D05C9" w14:textId="77777777" w:rsidR="00001207" w:rsidRPr="00001207" w:rsidRDefault="00001207" w:rsidP="00001207">
      <w:pPr>
        <w:spacing w:after="12" w:line="240" w:lineRule="auto"/>
        <w:ind w:left="14" w:right="2"/>
        <w:jc w:val="center"/>
        <w:rPr>
          <w:color w:val="000000" w:themeColor="text1"/>
        </w:rPr>
      </w:pPr>
      <w:r w:rsidRPr="00001207">
        <w:rPr>
          <w:b/>
          <w:color w:val="000000" w:themeColor="text1"/>
        </w:rPr>
        <w:t xml:space="preserve">No. 44863. </w:t>
      </w:r>
    </w:p>
    <w:p w14:paraId="4423B9C0" w14:textId="77777777" w:rsidR="00001207" w:rsidRPr="00001207" w:rsidRDefault="00001207" w:rsidP="00001207">
      <w:pPr>
        <w:spacing w:after="12" w:line="240" w:lineRule="auto"/>
        <w:ind w:left="14"/>
        <w:jc w:val="center"/>
        <w:rPr>
          <w:color w:val="000000" w:themeColor="text1"/>
        </w:rPr>
      </w:pPr>
      <w:r w:rsidRPr="00001207">
        <w:rPr>
          <w:b/>
          <w:color w:val="000000" w:themeColor="text1"/>
        </w:rPr>
        <w:t xml:space="preserve">Nov. 7, 1975. </w:t>
      </w:r>
    </w:p>
    <w:p w14:paraId="2999CA67" w14:textId="77777777" w:rsidR="00001207" w:rsidRPr="00001207" w:rsidRDefault="00001207" w:rsidP="00001207">
      <w:pPr>
        <w:spacing w:line="240" w:lineRule="auto"/>
        <w:ind w:left="1" w:firstLine="0"/>
        <w:rPr>
          <w:color w:val="000000" w:themeColor="text1"/>
        </w:rPr>
      </w:pPr>
      <w:r w:rsidRPr="00001207">
        <w:rPr>
          <w:b/>
          <w:color w:val="000000" w:themeColor="text1"/>
        </w:rPr>
        <w:t xml:space="preserve"> </w:t>
      </w:r>
    </w:p>
    <w:p w14:paraId="0BF6881E" w14:textId="77777777" w:rsidR="00001207" w:rsidRPr="00001207" w:rsidRDefault="00001207" w:rsidP="00001207">
      <w:pPr>
        <w:spacing w:line="240" w:lineRule="auto"/>
        <w:ind w:left="-5" w:hanging="9"/>
        <w:rPr>
          <w:color w:val="000000" w:themeColor="text1"/>
        </w:rPr>
      </w:pPr>
      <w:r w:rsidRPr="00001207">
        <w:rPr>
          <w:b/>
          <w:color w:val="000000" w:themeColor="text1"/>
        </w:rPr>
        <w:t>**610</w:t>
      </w:r>
      <w:r w:rsidRPr="00001207">
        <w:rPr>
          <w:color w:val="000000" w:themeColor="text1"/>
        </w:rPr>
        <w:t xml:space="preserve"> Plaintiffs have brought this action to recover damages against a road contractor for negligently suffocating the roots of shade trees located on plaintiffs’ property. The trial court directed a verdict for defendant, holding that plaintiffs failed to prove damages based on the diminution in value of the real estate and sought only to recover the cost of replacement. We reverse</w:t>
      </w:r>
      <w:proofErr w:type="gramStart"/>
      <w:r w:rsidRPr="00001207">
        <w:rPr>
          <w:color w:val="000000" w:themeColor="text1"/>
        </w:rPr>
        <w:t>. . . .</w:t>
      </w:r>
      <w:proofErr w:type="gramEnd"/>
      <w:r w:rsidRPr="00001207">
        <w:rPr>
          <w:color w:val="000000" w:themeColor="text1"/>
        </w:rPr>
        <w:t xml:space="preserve"> </w:t>
      </w:r>
    </w:p>
    <w:p w14:paraId="0BD0B14E"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602EBEF9" w14:textId="77777777" w:rsidR="00001207" w:rsidRPr="00001207" w:rsidRDefault="00001207" w:rsidP="00001207">
      <w:pPr>
        <w:spacing w:line="240" w:lineRule="auto"/>
        <w:ind w:left="-5" w:hanging="9"/>
        <w:rPr>
          <w:color w:val="000000" w:themeColor="text1"/>
        </w:rPr>
      </w:pPr>
      <w:r w:rsidRPr="00001207">
        <w:rPr>
          <w:color w:val="000000" w:themeColor="text1"/>
        </w:rPr>
        <w:t xml:space="preserve">Since 1912, courts throughout the country have placed a greater emphasis on the rights of a property owner to enjoy the aesthetic value of trees and shrubbery, even though they may have little commercial value and their destruction may, indeed, even enhance the market value of the property. </w:t>
      </w:r>
      <w:r w:rsidRPr="00001207">
        <w:rPr>
          <w:b/>
          <w:color w:val="000000" w:themeColor="text1"/>
        </w:rPr>
        <w:t>**611</w:t>
      </w:r>
      <w:r w:rsidRPr="00001207">
        <w:rPr>
          <w:color w:val="000000" w:themeColor="text1"/>
        </w:rPr>
        <w:t xml:space="preserve"> Where trees and shrubbery have aesthetic value to the owner as ornamental and shade trees, the rule is that replacement cost may be considered to the extent that the cost is reasonable and practical. There are situations where, from a practical point of view, mature trees cannot be replaced without costs that are wholly disproportionate to the damage inflicted. Under such circumstances, it cannot be expected that restoration or replacement will exactly duplicate what was damaged or destroyed. </w:t>
      </w:r>
    </w:p>
    <w:p w14:paraId="7C6134CA"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38331D86" w14:textId="77777777" w:rsidR="00001207" w:rsidRPr="00001207" w:rsidRDefault="00001207" w:rsidP="00001207">
      <w:pPr>
        <w:spacing w:line="240" w:lineRule="auto"/>
        <w:ind w:left="-5" w:hanging="9"/>
        <w:rPr>
          <w:color w:val="000000" w:themeColor="text1"/>
        </w:rPr>
      </w:pPr>
      <w:r w:rsidRPr="00001207">
        <w:rPr>
          <w:color w:val="000000" w:themeColor="text1"/>
        </w:rPr>
        <w:t xml:space="preserve">Therefore, we hold that the reasonable cost of replacing the trees is the correct measure of damages. </w:t>
      </w:r>
    </w:p>
    <w:p w14:paraId="1C0065FD" w14:textId="77777777" w:rsidR="00001207" w:rsidRPr="00001207" w:rsidRDefault="00001207" w:rsidP="00001207">
      <w:pPr>
        <w:spacing w:line="240" w:lineRule="auto"/>
        <w:ind w:left="1" w:firstLine="0"/>
        <w:rPr>
          <w:color w:val="000000" w:themeColor="text1"/>
        </w:rPr>
      </w:pPr>
      <w:r w:rsidRPr="00001207">
        <w:rPr>
          <w:color w:val="000000" w:themeColor="text1"/>
        </w:rPr>
        <w:t xml:space="preserve"> </w:t>
      </w:r>
    </w:p>
    <w:p w14:paraId="7CA1DEF0" w14:textId="566BAD57" w:rsidR="00B220C8" w:rsidRPr="00001207" w:rsidRDefault="00001207" w:rsidP="00001207">
      <w:pPr>
        <w:spacing w:after="3958" w:line="240" w:lineRule="auto"/>
        <w:ind w:left="1" w:firstLine="0"/>
        <w:rPr>
          <w:color w:val="000000" w:themeColor="text1"/>
        </w:rPr>
      </w:pPr>
      <w:r w:rsidRPr="00001207">
        <w:rPr>
          <w:color w:val="000000" w:themeColor="text1"/>
        </w:rPr>
        <w:t xml:space="preserve"> </w:t>
      </w:r>
    </w:p>
    <w:sectPr w:rsidR="00B220C8" w:rsidRPr="00001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Garamond">
    <w:altName w:val="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E788EF" w14:textId="77777777" w:rsidR="00001207" w:rsidRDefault="00001207">
    <w:pPr>
      <w:spacing w:line="259" w:lineRule="auto"/>
      <w:ind w:left="5" w:firstLine="0"/>
      <w:jc w:val="center"/>
    </w:pPr>
    <w:r>
      <w:rPr>
        <w:sz w:val="24"/>
      </w:rPr>
      <w:t xml:space="preserve">2021 RRWA Fall Research &amp; Citation Literacy Assessment (FRCLA) | Page </w:t>
    </w:r>
    <w:r>
      <w:fldChar w:fldCharType="begin"/>
    </w:r>
    <w:r>
      <w:instrText xml:space="preserve"> PAGE   \* MERGEFORMAT </w:instrText>
    </w:r>
    <w:r>
      <w:fldChar w:fldCharType="separate"/>
    </w:r>
    <w:r>
      <w:rPr>
        <w:sz w:val="24"/>
      </w:rPr>
      <w:t>10</w:t>
    </w:r>
    <w:r>
      <w:rPr>
        <w:sz w:val="24"/>
      </w:rPr>
      <w:fldChar w:fldCharType="end"/>
    </w:r>
    <w:r>
      <w:rPr>
        <w:sz w:val="24"/>
      </w:rPr>
      <w:t xml:space="preserve"> of 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C1EFFF6" w14:textId="77777777" w:rsidR="00001207" w:rsidRDefault="00001207">
    <w:pPr>
      <w:spacing w:line="259" w:lineRule="auto"/>
      <w:ind w:left="5" w:firstLine="0"/>
      <w:jc w:val="center"/>
    </w:pPr>
    <w:r>
      <w:rPr>
        <w:sz w:val="24"/>
      </w:rPr>
      <w:t xml:space="preserve">2021 RRWA Fall Research &amp; Citation Literacy Assessment (FRCLA)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5CD6A94" w14:textId="77777777" w:rsidR="00001207" w:rsidRDefault="00001207">
    <w:pPr>
      <w:spacing w:line="259" w:lineRule="auto"/>
      <w:ind w:left="5" w:firstLine="0"/>
      <w:jc w:val="center"/>
    </w:pPr>
    <w:r>
      <w:rPr>
        <w:sz w:val="24"/>
      </w:rPr>
      <w:t xml:space="preserve">2021 RRWA Fall Research &amp; Citation Literacy Assessment (FRCLA) | Page </w:t>
    </w:r>
    <w:r>
      <w:fldChar w:fldCharType="begin"/>
    </w:r>
    <w:r>
      <w:instrText xml:space="preserve"> PAGE   \* MERGEFORMAT </w:instrText>
    </w:r>
    <w:r>
      <w:fldChar w:fldCharType="separate"/>
    </w:r>
    <w:r>
      <w:rPr>
        <w:sz w:val="24"/>
      </w:rPr>
      <w:t>10</w:t>
    </w:r>
    <w:r>
      <w:rPr>
        <w:sz w:val="24"/>
      </w:rPr>
      <w:fldChar w:fldCharType="end"/>
    </w:r>
    <w:r>
      <w:rPr>
        <w:sz w:val="24"/>
      </w:rPr>
      <w:t xml:space="preserve"> of 17</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C0061CB"/>
    <w:multiLevelType w:val="hybridMultilevel"/>
    <w:tmpl w:val="0E983490"/>
    <w:lvl w:ilvl="0" w:tplc="07DCE83E">
      <w:start w:val="1"/>
      <w:numFmt w:val="lowerLetter"/>
      <w:lvlText w:val="(%1)"/>
      <w:lvlJc w:val="left"/>
      <w:pPr>
        <w:ind w:left="721"/>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1" w:tplc="58DC8BDC">
      <w:start w:val="1"/>
      <w:numFmt w:val="lowerLetter"/>
      <w:lvlText w:val="%2"/>
      <w:lvlJc w:val="left"/>
      <w:pPr>
        <w:ind w:left="1440"/>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2" w:tplc="F97C903A">
      <w:start w:val="1"/>
      <w:numFmt w:val="lowerRoman"/>
      <w:lvlText w:val="%3"/>
      <w:lvlJc w:val="left"/>
      <w:pPr>
        <w:ind w:left="2160"/>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3" w:tplc="66C070B6">
      <w:start w:val="1"/>
      <w:numFmt w:val="decimal"/>
      <w:lvlText w:val="%4"/>
      <w:lvlJc w:val="left"/>
      <w:pPr>
        <w:ind w:left="2880"/>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4" w:tplc="64CA3036">
      <w:start w:val="1"/>
      <w:numFmt w:val="lowerLetter"/>
      <w:lvlText w:val="%5"/>
      <w:lvlJc w:val="left"/>
      <w:pPr>
        <w:ind w:left="3600"/>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5" w:tplc="0ACED9E4">
      <w:start w:val="1"/>
      <w:numFmt w:val="lowerRoman"/>
      <w:lvlText w:val="%6"/>
      <w:lvlJc w:val="left"/>
      <w:pPr>
        <w:ind w:left="4320"/>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6" w:tplc="B6DCBDE6">
      <w:start w:val="1"/>
      <w:numFmt w:val="decimal"/>
      <w:lvlText w:val="%7"/>
      <w:lvlJc w:val="left"/>
      <w:pPr>
        <w:ind w:left="5040"/>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7" w:tplc="9F96DC44">
      <w:start w:val="1"/>
      <w:numFmt w:val="lowerLetter"/>
      <w:lvlText w:val="%8"/>
      <w:lvlJc w:val="left"/>
      <w:pPr>
        <w:ind w:left="5760"/>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8" w:tplc="B02867F4">
      <w:start w:val="1"/>
      <w:numFmt w:val="lowerRoman"/>
      <w:lvlText w:val="%9"/>
      <w:lvlJc w:val="left"/>
      <w:pPr>
        <w:ind w:left="6480"/>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abstractNum>
  <w:num w:numId="1" w16cid:durableId="106209342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07"/>
    <w:rsid w:val="00001207"/>
    <w:rsid w:val="001314B7"/>
    <w:rsid w:val="001D6A77"/>
    <w:rsid w:val="00AB711F"/>
    <w:rsid w:val="00AD01BC"/>
    <w:rsid w:val="00B220C8"/>
    <w:rsid w:val="00BC495A"/>
    <w:rsid w:val="00D2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B6146E"/>
  <w15:chartTrackingRefBased/>
  <w15:docId w15:val="{29BA5183-DD56-454D-9488-DF86D55E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207"/>
    <w:pPr>
      <w:spacing w:line="248" w:lineRule="auto"/>
      <w:ind w:left="11" w:hanging="10"/>
    </w:pPr>
    <w:rPr>
      <w:rFonts w:ascii="Garamond" w:eastAsia="Garamond" w:hAnsi="Garamond" w:cs="Garamond"/>
      <w:color w:val="000000"/>
      <w:sz w:val="26"/>
    </w:rPr>
  </w:style>
  <w:style w:type="paragraph" w:styleId="Heading1">
    <w:name w:val="heading 1"/>
    <w:basedOn w:val="Normal"/>
    <w:next w:val="Normal"/>
    <w:link w:val="Heading1Char"/>
    <w:uiPriority w:val="9"/>
    <w:qFormat/>
    <w:rsid w:val="00001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1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2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2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12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12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12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12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12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1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01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2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2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12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12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12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12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12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12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2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2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12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1207"/>
    <w:rPr>
      <w:i/>
      <w:iCs/>
      <w:color w:val="404040" w:themeColor="text1" w:themeTint="BF"/>
    </w:rPr>
  </w:style>
  <w:style w:type="paragraph" w:styleId="ListParagraph">
    <w:name w:val="List Paragraph"/>
    <w:basedOn w:val="Normal"/>
    <w:uiPriority w:val="34"/>
    <w:qFormat/>
    <w:rsid w:val="00001207"/>
    <w:pPr>
      <w:ind w:left="720"/>
      <w:contextualSpacing/>
    </w:pPr>
  </w:style>
  <w:style w:type="character" w:styleId="IntenseEmphasis">
    <w:name w:val="Intense Emphasis"/>
    <w:basedOn w:val="DefaultParagraphFont"/>
    <w:uiPriority w:val="21"/>
    <w:qFormat/>
    <w:rsid w:val="00001207"/>
    <w:rPr>
      <w:i/>
      <w:iCs/>
      <w:color w:val="0F4761" w:themeColor="accent1" w:themeShade="BF"/>
    </w:rPr>
  </w:style>
  <w:style w:type="paragraph" w:styleId="IntenseQuote">
    <w:name w:val="Intense Quote"/>
    <w:basedOn w:val="Normal"/>
    <w:next w:val="Normal"/>
    <w:link w:val="IntenseQuoteChar"/>
    <w:uiPriority w:val="30"/>
    <w:qFormat/>
    <w:rsid w:val="00001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207"/>
    <w:rPr>
      <w:i/>
      <w:iCs/>
      <w:color w:val="0F4761" w:themeColor="accent1" w:themeShade="BF"/>
    </w:rPr>
  </w:style>
  <w:style w:type="character" w:styleId="IntenseReference">
    <w:name w:val="Intense Reference"/>
    <w:basedOn w:val="DefaultParagraphFont"/>
    <w:uiPriority w:val="32"/>
    <w:qFormat/>
    <w:rsid w:val="000012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1402</Words>
  <Characters>7998</Characters>
  <Application>Microsoft Office Word</Application>
  <DocSecurity>0</DocSecurity>
  <Lines>66</Lines>
  <Paragraphs>18</Paragraphs>
  <ScaleCrop>false</ScaleCrop>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Daukaus, Lauren</dc:creator>
  <cp:keywords/>
  <dc:description/>
  <cp:lastModifiedBy>Daukaus, Lauren</cp:lastModifiedBy>
  <cp:revision>1</cp:revision>
  <dcterms:created xsi:type="dcterms:W3CDTF">2026-07-22T03:06:00Z</dcterms:created>
  <dcterms:modified xsi:type="dcterms:W3CDTF">2026-07-22T03:11:00Z</dcterms:modified>
</cp:coreProperties>
</file>